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2768"/>
        <w:gridCol w:w="2769"/>
        <w:gridCol w:w="2769"/>
      </w:tblGrid>
      <w:tr w:rsidR="0001114A" w14:paraId="0EC09644" w14:textId="77777777">
        <w:tc>
          <w:tcPr>
            <w:tcW w:w="1666" w:type="pct"/>
          </w:tcPr>
          <w:p w14:paraId="2C3F2A46" w14:textId="77777777" w:rsidR="0001114A" w:rsidRDefault="00000000">
            <w:pPr>
              <w:adjustRightInd w:val="0"/>
              <w:snapToGrid w:val="0"/>
              <w:spacing w:line="440" w:lineRule="exact"/>
              <w:rPr>
                <w:rFonts w:ascii="Times New Roman" w:eastAsia="宋体" w:hAnsi="Times New Roman" w:cs="Times New Roman"/>
                <w:sz w:val="24"/>
              </w:rPr>
            </w:pPr>
            <w:r>
              <w:rPr>
                <w:rFonts w:ascii="Times New Roman" w:eastAsia="宋体" w:hAnsi="Times New Roman" w:cs="Times New Roman"/>
                <w:sz w:val="24"/>
              </w:rPr>
              <w:t>证券代码：</w:t>
            </w:r>
            <w:r>
              <w:rPr>
                <w:rFonts w:ascii="Times New Roman" w:eastAsia="宋体" w:hAnsi="Times New Roman" w:cs="Times New Roman"/>
                <w:sz w:val="24"/>
              </w:rPr>
              <w:t>000881</w:t>
            </w:r>
          </w:p>
        </w:tc>
        <w:tc>
          <w:tcPr>
            <w:tcW w:w="1667" w:type="pct"/>
          </w:tcPr>
          <w:p w14:paraId="0E458ABC" w14:textId="77777777" w:rsidR="0001114A" w:rsidRDefault="00000000">
            <w:pPr>
              <w:adjustRightInd w:val="0"/>
              <w:snapToGrid w:val="0"/>
              <w:spacing w:line="440" w:lineRule="exact"/>
              <w:jc w:val="center"/>
              <w:rPr>
                <w:rFonts w:ascii="Times New Roman" w:eastAsia="宋体" w:hAnsi="Times New Roman" w:cs="Times New Roman"/>
                <w:sz w:val="24"/>
              </w:rPr>
            </w:pPr>
            <w:r>
              <w:rPr>
                <w:rFonts w:ascii="Times New Roman" w:eastAsia="宋体" w:hAnsi="Times New Roman" w:cs="Times New Roman"/>
                <w:sz w:val="24"/>
              </w:rPr>
              <w:t>证券简称：中</w:t>
            </w:r>
            <w:proofErr w:type="gramStart"/>
            <w:r>
              <w:rPr>
                <w:rFonts w:ascii="Times New Roman" w:eastAsia="宋体" w:hAnsi="Times New Roman" w:cs="Times New Roman"/>
                <w:sz w:val="24"/>
              </w:rPr>
              <w:t>广核技</w:t>
            </w:r>
            <w:proofErr w:type="gramEnd"/>
          </w:p>
        </w:tc>
        <w:tc>
          <w:tcPr>
            <w:tcW w:w="1667" w:type="pct"/>
          </w:tcPr>
          <w:p w14:paraId="1CE816D4" w14:textId="26FF561B" w:rsidR="0001114A" w:rsidRDefault="00000000">
            <w:pPr>
              <w:adjustRightInd w:val="0"/>
              <w:snapToGrid w:val="0"/>
              <w:spacing w:line="440" w:lineRule="exact"/>
              <w:jc w:val="right"/>
              <w:rPr>
                <w:rFonts w:ascii="Times New Roman" w:eastAsia="宋体" w:hAnsi="Times New Roman" w:cs="Times New Roman"/>
                <w:sz w:val="24"/>
              </w:rPr>
            </w:pPr>
            <w:r>
              <w:rPr>
                <w:rFonts w:ascii="Times New Roman" w:eastAsia="宋体" w:hAnsi="Times New Roman" w:cs="Times New Roman"/>
                <w:sz w:val="24"/>
              </w:rPr>
              <w:t>公告编号：</w:t>
            </w:r>
            <w:r>
              <w:rPr>
                <w:rFonts w:ascii="Times New Roman" w:eastAsia="宋体" w:hAnsi="Times New Roman" w:cs="Times New Roman"/>
                <w:sz w:val="24"/>
              </w:rPr>
              <w:t>202</w:t>
            </w:r>
            <w:r w:rsidR="00A62913">
              <w:rPr>
                <w:rFonts w:ascii="Times New Roman" w:eastAsia="宋体" w:hAnsi="Times New Roman" w:cs="Times New Roman"/>
                <w:sz w:val="24"/>
              </w:rPr>
              <w:t>3</w:t>
            </w:r>
            <w:r>
              <w:rPr>
                <w:rFonts w:ascii="Times New Roman" w:eastAsia="宋体" w:hAnsi="Times New Roman" w:cs="Times New Roman"/>
                <w:sz w:val="24"/>
              </w:rPr>
              <w:t>-</w:t>
            </w:r>
            <w:r>
              <w:rPr>
                <w:rFonts w:ascii="Times New Roman" w:eastAsia="宋体" w:hAnsi="Times New Roman" w:cs="Times New Roman" w:hint="eastAsia"/>
                <w:sz w:val="24"/>
              </w:rPr>
              <w:t>0</w:t>
            </w:r>
            <w:r w:rsidR="00A62913">
              <w:rPr>
                <w:rFonts w:ascii="Times New Roman" w:eastAsia="宋体" w:hAnsi="Times New Roman" w:cs="Times New Roman"/>
                <w:sz w:val="24"/>
              </w:rPr>
              <w:t>20</w:t>
            </w:r>
          </w:p>
        </w:tc>
      </w:tr>
    </w:tbl>
    <w:p w14:paraId="0D515A9D" w14:textId="77777777" w:rsidR="0001114A" w:rsidRDefault="00000000">
      <w:pPr>
        <w:snapToGrid w:val="0"/>
        <w:spacing w:beforeLines="50" w:before="156"/>
        <w:jc w:val="center"/>
        <w:rPr>
          <w:rFonts w:ascii="宋体" w:eastAsia="宋体" w:hAnsi="宋体" w:cs="宋体"/>
          <w:b/>
          <w:sz w:val="36"/>
          <w:szCs w:val="36"/>
        </w:rPr>
      </w:pPr>
      <w:r>
        <w:rPr>
          <w:rFonts w:ascii="宋体" w:eastAsia="宋体" w:hAnsi="宋体" w:cs="宋体" w:hint="eastAsia"/>
          <w:b/>
          <w:sz w:val="36"/>
          <w:szCs w:val="36"/>
        </w:rPr>
        <w:t>中广核核技术发展股份有限公司</w:t>
      </w:r>
    </w:p>
    <w:p w14:paraId="050DFD73" w14:textId="77777777" w:rsidR="0001114A" w:rsidRDefault="00000000">
      <w:pPr>
        <w:snapToGrid w:val="0"/>
        <w:jc w:val="center"/>
        <w:rPr>
          <w:rFonts w:ascii="宋体" w:eastAsia="宋体" w:hAnsi="宋体" w:cs="宋体"/>
          <w:b/>
          <w:sz w:val="36"/>
          <w:szCs w:val="36"/>
        </w:rPr>
      </w:pPr>
      <w:r>
        <w:rPr>
          <w:rFonts w:ascii="宋体" w:eastAsia="宋体" w:hAnsi="宋体" w:cs="宋体" w:hint="eastAsia"/>
          <w:b/>
          <w:sz w:val="36"/>
          <w:szCs w:val="36"/>
        </w:rPr>
        <w:t>关于发行股份及支付现金购买资产暨关联交易事项的进展公告</w:t>
      </w:r>
    </w:p>
    <w:p w14:paraId="04C0D20A" w14:textId="77777777" w:rsidR="0001114A" w:rsidRDefault="00000000">
      <w:pPr>
        <w:snapToGrid w:val="0"/>
        <w:spacing w:beforeLines="100" w:before="312" w:line="360" w:lineRule="auto"/>
        <w:ind w:firstLineChars="200" w:firstLine="422"/>
        <w:rPr>
          <w:rFonts w:ascii="宋体" w:eastAsia="宋体" w:hAnsi="宋体" w:cs="宋体"/>
          <w:b/>
          <w:szCs w:val="21"/>
        </w:rPr>
      </w:pPr>
      <w:r>
        <w:rPr>
          <w:rFonts w:ascii="宋体" w:eastAsia="宋体" w:hAnsi="宋体" w:cs="宋体" w:hint="eastAsia"/>
          <w:b/>
          <w:szCs w:val="21"/>
        </w:rPr>
        <w:t>本公司及董事会全体成员保证信息披露的内容真实、准确、完整，没有虚假记载、误导性陈述或者重大遗漏。</w:t>
      </w:r>
    </w:p>
    <w:p w14:paraId="74467204" w14:textId="77777777" w:rsidR="0001114A" w:rsidRDefault="00000000">
      <w:pPr>
        <w:spacing w:line="360" w:lineRule="auto"/>
        <w:ind w:firstLineChars="200" w:firstLine="482"/>
        <w:jc w:val="left"/>
        <w:rPr>
          <w:rFonts w:ascii="Times New Roman" w:eastAsia="宋体" w:hAnsi="Times New Roman" w:cs="Times New Roman"/>
          <w:b/>
          <w:bCs/>
          <w:sz w:val="24"/>
          <w:szCs w:val="28"/>
        </w:rPr>
      </w:pPr>
      <w:r>
        <w:rPr>
          <w:rFonts w:ascii="Times New Roman" w:eastAsia="宋体" w:hAnsi="Times New Roman" w:cs="Times New Roman" w:hint="eastAsia"/>
          <w:b/>
          <w:bCs/>
          <w:sz w:val="24"/>
          <w:szCs w:val="28"/>
        </w:rPr>
        <w:t>特别提示：</w:t>
      </w:r>
    </w:p>
    <w:p w14:paraId="4D90FFFC" w14:textId="77777777" w:rsidR="0001114A" w:rsidRDefault="00000000">
      <w:pPr>
        <w:spacing w:line="360" w:lineRule="auto"/>
        <w:ind w:firstLineChars="200" w:firstLine="480"/>
        <w:contextualSpacing/>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、中广核核技术发展股份有限公司</w:t>
      </w:r>
      <w:r>
        <w:rPr>
          <w:rFonts w:ascii="Times New Roman" w:eastAsia="宋体" w:hAnsi="Times New Roman" w:cs="Times New Roman"/>
          <w:sz w:val="24"/>
          <w:szCs w:val="28"/>
        </w:rPr>
        <w:t>（以下简称</w:t>
      </w:r>
      <w:r>
        <w:rPr>
          <w:rFonts w:ascii="Times New Roman" w:eastAsia="宋体" w:hAnsi="Times New Roman" w:cs="Times New Roman" w:hint="eastAsia"/>
          <w:sz w:val="24"/>
          <w:szCs w:val="28"/>
        </w:rPr>
        <w:t>“中广核技”或“公司”</w:t>
      </w:r>
      <w:r>
        <w:rPr>
          <w:rFonts w:ascii="Times New Roman" w:eastAsia="宋体" w:hAnsi="Times New Roman" w:cs="Times New Roman"/>
          <w:sz w:val="24"/>
          <w:szCs w:val="28"/>
        </w:rPr>
        <w:t>）于</w:t>
      </w:r>
      <w:r>
        <w:rPr>
          <w:rFonts w:ascii="Times New Roman" w:eastAsia="宋体" w:hAnsi="Times New Roman" w:cs="Times New Roman"/>
          <w:sz w:val="24"/>
          <w:szCs w:val="28"/>
        </w:rPr>
        <w:t>2022</w:t>
      </w:r>
      <w:r>
        <w:rPr>
          <w:rFonts w:ascii="Times New Roman" w:eastAsia="宋体" w:hAnsi="Times New Roman" w:cs="Times New Roman"/>
          <w:sz w:val="24"/>
          <w:szCs w:val="28"/>
        </w:rPr>
        <w:t>年</w:t>
      </w:r>
      <w:r>
        <w:rPr>
          <w:rFonts w:ascii="Times New Roman" w:eastAsia="宋体" w:hAnsi="Times New Roman" w:cs="Times New Roman" w:hint="eastAsia"/>
          <w:sz w:val="24"/>
          <w:szCs w:val="28"/>
        </w:rPr>
        <w:t>7</w:t>
      </w:r>
      <w:r>
        <w:rPr>
          <w:rFonts w:ascii="Times New Roman" w:eastAsia="宋体" w:hAnsi="Times New Roman" w:cs="Times New Roman"/>
          <w:sz w:val="24"/>
          <w:szCs w:val="28"/>
        </w:rPr>
        <w:t>月</w:t>
      </w:r>
      <w:r>
        <w:rPr>
          <w:rFonts w:ascii="Times New Roman" w:eastAsia="宋体" w:hAnsi="Times New Roman" w:cs="Times New Roman" w:hint="eastAsia"/>
          <w:sz w:val="24"/>
          <w:szCs w:val="28"/>
        </w:rPr>
        <w:t>1</w:t>
      </w:r>
      <w:r>
        <w:rPr>
          <w:rFonts w:ascii="Times New Roman" w:eastAsia="宋体" w:hAnsi="Times New Roman" w:cs="Times New Roman"/>
          <w:sz w:val="24"/>
          <w:szCs w:val="28"/>
        </w:rPr>
        <w:t>日披露的《</w:t>
      </w:r>
      <w:r>
        <w:rPr>
          <w:rFonts w:ascii="Times New Roman" w:eastAsia="宋体" w:hAnsi="Times New Roman" w:cs="Times New Roman" w:hint="eastAsia"/>
          <w:sz w:val="24"/>
          <w:szCs w:val="28"/>
        </w:rPr>
        <w:t>发行股份及支付现金购买资产</w:t>
      </w:r>
      <w:r>
        <w:rPr>
          <w:rFonts w:ascii="Times New Roman" w:eastAsia="宋体" w:hAnsi="Times New Roman" w:cs="Times New Roman"/>
          <w:sz w:val="24"/>
          <w:szCs w:val="28"/>
        </w:rPr>
        <w:t>暨关联交易报告书（草案）》（以下称</w:t>
      </w:r>
      <w:r>
        <w:rPr>
          <w:rFonts w:ascii="Times New Roman" w:eastAsia="宋体" w:hAnsi="Times New Roman" w:cs="Times New Roman" w:hint="eastAsia"/>
          <w:sz w:val="24"/>
          <w:szCs w:val="28"/>
        </w:rPr>
        <w:t>“重组报告书”</w:t>
      </w:r>
      <w:r>
        <w:rPr>
          <w:rFonts w:ascii="Times New Roman" w:eastAsia="宋体" w:hAnsi="Times New Roman" w:cs="Times New Roman"/>
          <w:sz w:val="24"/>
          <w:szCs w:val="28"/>
        </w:rPr>
        <w:t>）中已对本次交易涉及的有关风险因素及尚需履行的审批程序进行了详细说明，敬请广大投资者认真阅读有关内容，并注意投资风险。</w:t>
      </w:r>
    </w:p>
    <w:p w14:paraId="4EB93C30" w14:textId="77777777" w:rsidR="0001114A" w:rsidRDefault="00000000">
      <w:pPr>
        <w:spacing w:line="360" w:lineRule="auto"/>
        <w:ind w:firstLineChars="200" w:firstLine="480"/>
        <w:contextualSpacing/>
        <w:rPr>
          <w:rFonts w:ascii="Times New Roman" w:eastAsia="宋体" w:hAnsi="Times New Roman" w:cs="Times New Roman"/>
          <w:sz w:val="24"/>
          <w:szCs w:val="28"/>
        </w:rPr>
      </w:pPr>
      <w:r>
        <w:rPr>
          <w:rFonts w:ascii="Times New Roman" w:eastAsia="宋体" w:hAnsi="Times New Roman" w:cs="Times New Roman"/>
          <w:sz w:val="24"/>
          <w:szCs w:val="28"/>
        </w:rPr>
        <w:t>2</w:t>
      </w:r>
      <w:r>
        <w:rPr>
          <w:rFonts w:ascii="Times New Roman" w:eastAsia="宋体" w:hAnsi="Times New Roman" w:cs="Times New Roman"/>
          <w:sz w:val="24"/>
          <w:szCs w:val="28"/>
        </w:rPr>
        <w:t>、截至本公告日，除</w:t>
      </w:r>
      <w:r>
        <w:rPr>
          <w:rFonts w:ascii="Times New Roman" w:eastAsia="宋体" w:hAnsi="Times New Roman" w:cs="Times New Roman" w:hint="eastAsia"/>
          <w:sz w:val="24"/>
          <w:szCs w:val="28"/>
        </w:rPr>
        <w:t>报告书</w:t>
      </w:r>
      <w:r>
        <w:rPr>
          <w:rFonts w:ascii="Times New Roman" w:eastAsia="宋体" w:hAnsi="Times New Roman" w:cs="Times New Roman"/>
          <w:sz w:val="24"/>
          <w:szCs w:val="28"/>
        </w:rPr>
        <w:t>披露的风险因素外，公司尚未发现可能导致公司董事会或者交易对方撤销、中止本次交易方案或者对本次交易方案</w:t>
      </w:r>
      <w:proofErr w:type="gramStart"/>
      <w:r>
        <w:rPr>
          <w:rFonts w:ascii="Times New Roman" w:eastAsia="宋体" w:hAnsi="Times New Roman" w:cs="Times New Roman"/>
          <w:sz w:val="24"/>
          <w:szCs w:val="28"/>
        </w:rPr>
        <w:t>作出</w:t>
      </w:r>
      <w:proofErr w:type="gramEnd"/>
      <w:r>
        <w:rPr>
          <w:rFonts w:ascii="Times New Roman" w:eastAsia="宋体" w:hAnsi="Times New Roman" w:cs="Times New Roman"/>
          <w:sz w:val="24"/>
          <w:szCs w:val="28"/>
        </w:rPr>
        <w:t>实质性变更的相关事项，本次交易工作正在有序进行中。</w:t>
      </w:r>
    </w:p>
    <w:p w14:paraId="3346EEE1" w14:textId="77777777" w:rsidR="0001114A" w:rsidRDefault="00000000">
      <w:pPr>
        <w:spacing w:line="360" w:lineRule="auto"/>
        <w:ind w:firstLineChars="200" w:firstLine="482"/>
        <w:jc w:val="left"/>
        <w:rPr>
          <w:rFonts w:ascii="Times New Roman" w:eastAsia="宋体" w:hAnsi="Times New Roman" w:cs="Times New Roman"/>
          <w:b/>
          <w:bCs/>
          <w:sz w:val="24"/>
          <w:szCs w:val="28"/>
        </w:rPr>
      </w:pPr>
      <w:r>
        <w:rPr>
          <w:rFonts w:ascii="Times New Roman" w:eastAsia="宋体" w:hAnsi="Times New Roman" w:cs="Times New Roman" w:hint="eastAsia"/>
          <w:b/>
          <w:bCs/>
          <w:sz w:val="24"/>
          <w:szCs w:val="28"/>
        </w:rPr>
        <w:t>一、本次交易概况</w:t>
      </w:r>
    </w:p>
    <w:p w14:paraId="434707BA" w14:textId="77777777" w:rsidR="0001114A" w:rsidRDefault="00000000">
      <w:pPr>
        <w:spacing w:line="360" w:lineRule="auto"/>
        <w:ind w:firstLineChars="200" w:firstLine="480"/>
        <w:contextualSpacing/>
        <w:rPr>
          <w:rFonts w:ascii="Times New Roman" w:eastAsia="宋体" w:hAnsi="Times New Roman" w:cs="Times New Roman"/>
          <w:sz w:val="24"/>
          <w:szCs w:val="28"/>
        </w:rPr>
      </w:pPr>
      <w:r>
        <w:rPr>
          <w:rFonts w:ascii="Times New Roman" w:eastAsia="宋体" w:hAnsi="Times New Roman" w:cs="Times New Roman" w:hint="eastAsia"/>
          <w:sz w:val="24"/>
          <w:szCs w:val="28"/>
        </w:rPr>
        <w:t>公司拟以发行股份方式购买中广核核技术应用有限公司所持</w:t>
      </w:r>
      <w:r>
        <w:rPr>
          <w:rFonts w:ascii="Times New Roman" w:eastAsia="宋体" w:hAnsi="Times New Roman" w:cs="Times New Roman" w:hint="eastAsia"/>
          <w:sz w:val="24"/>
          <w:szCs w:val="28"/>
        </w:rPr>
        <w:t>30%</w:t>
      </w:r>
      <w:r>
        <w:rPr>
          <w:rFonts w:ascii="Times New Roman" w:eastAsia="宋体" w:hAnsi="Times New Roman" w:cs="Times New Roman" w:hint="eastAsia"/>
          <w:sz w:val="24"/>
          <w:szCs w:val="28"/>
        </w:rPr>
        <w:t>中广核</w:t>
      </w:r>
      <w:proofErr w:type="gramStart"/>
      <w:r>
        <w:rPr>
          <w:rFonts w:ascii="Times New Roman" w:eastAsia="宋体" w:hAnsi="Times New Roman" w:cs="Times New Roman" w:hint="eastAsia"/>
          <w:sz w:val="24"/>
          <w:szCs w:val="28"/>
        </w:rPr>
        <w:t>贝谷科技</w:t>
      </w:r>
      <w:proofErr w:type="gramEnd"/>
      <w:r>
        <w:rPr>
          <w:rFonts w:ascii="Times New Roman" w:eastAsia="宋体" w:hAnsi="Times New Roman" w:cs="Times New Roman" w:hint="eastAsia"/>
          <w:sz w:val="24"/>
          <w:szCs w:val="28"/>
        </w:rPr>
        <w:t>有限公司（以下简称“贝谷科技”）股权、拟以支付现金方式购买中</w:t>
      </w:r>
      <w:proofErr w:type="gramStart"/>
      <w:r>
        <w:rPr>
          <w:rFonts w:ascii="Times New Roman" w:eastAsia="宋体" w:hAnsi="Times New Roman" w:cs="Times New Roman" w:hint="eastAsia"/>
          <w:sz w:val="24"/>
          <w:szCs w:val="28"/>
        </w:rPr>
        <w:t>广核久源</w:t>
      </w:r>
      <w:proofErr w:type="gramEnd"/>
      <w:r>
        <w:rPr>
          <w:rFonts w:ascii="Times New Roman" w:eastAsia="宋体" w:hAnsi="Times New Roman" w:cs="Times New Roman" w:hint="eastAsia"/>
          <w:sz w:val="24"/>
          <w:szCs w:val="28"/>
        </w:rPr>
        <w:t>（成都）科技有限公司所持</w:t>
      </w:r>
      <w:r>
        <w:rPr>
          <w:rFonts w:ascii="Times New Roman" w:eastAsia="宋体" w:hAnsi="Times New Roman" w:cs="Times New Roman" w:hint="eastAsia"/>
          <w:sz w:val="24"/>
          <w:szCs w:val="28"/>
        </w:rPr>
        <w:t>21%</w:t>
      </w:r>
      <w:proofErr w:type="gramStart"/>
      <w:r>
        <w:rPr>
          <w:rFonts w:ascii="Times New Roman" w:eastAsia="宋体" w:hAnsi="Times New Roman" w:cs="Times New Roman" w:hint="eastAsia"/>
          <w:sz w:val="24"/>
          <w:szCs w:val="28"/>
        </w:rPr>
        <w:t>贝谷科技</w:t>
      </w:r>
      <w:proofErr w:type="gramEnd"/>
      <w:r>
        <w:rPr>
          <w:rFonts w:ascii="Times New Roman" w:eastAsia="宋体" w:hAnsi="Times New Roman" w:cs="Times New Roman" w:hint="eastAsia"/>
          <w:sz w:val="24"/>
          <w:szCs w:val="28"/>
        </w:rPr>
        <w:t>股权、拟以发行股份及支付现金方式购买吉安市云科通科技合伙企业（有限合伙）所持</w:t>
      </w:r>
      <w:r>
        <w:rPr>
          <w:rFonts w:ascii="Times New Roman" w:eastAsia="宋体" w:hAnsi="Times New Roman" w:cs="Times New Roman"/>
          <w:sz w:val="24"/>
          <w:szCs w:val="28"/>
        </w:rPr>
        <w:t>49</w:t>
      </w:r>
      <w:r>
        <w:rPr>
          <w:rFonts w:ascii="Times New Roman" w:eastAsia="宋体" w:hAnsi="Times New Roman" w:cs="Times New Roman" w:hint="eastAsia"/>
          <w:sz w:val="24"/>
          <w:szCs w:val="28"/>
        </w:rPr>
        <w:t>%</w:t>
      </w:r>
      <w:proofErr w:type="gramStart"/>
      <w:r>
        <w:rPr>
          <w:rFonts w:ascii="Times New Roman" w:eastAsia="宋体" w:hAnsi="Times New Roman" w:cs="Times New Roman" w:hint="eastAsia"/>
          <w:sz w:val="24"/>
          <w:szCs w:val="28"/>
        </w:rPr>
        <w:t>贝谷科技</w:t>
      </w:r>
      <w:proofErr w:type="gramEnd"/>
      <w:r>
        <w:rPr>
          <w:rFonts w:ascii="Times New Roman" w:eastAsia="宋体" w:hAnsi="Times New Roman" w:cs="Times New Roman" w:hint="eastAsia"/>
          <w:sz w:val="24"/>
          <w:szCs w:val="28"/>
        </w:rPr>
        <w:t>股权。本次交易后，上市公司将取得</w:t>
      </w:r>
      <w:proofErr w:type="gramStart"/>
      <w:r>
        <w:rPr>
          <w:rFonts w:ascii="Times New Roman" w:eastAsia="宋体" w:hAnsi="Times New Roman" w:cs="Times New Roman" w:hint="eastAsia"/>
          <w:sz w:val="24"/>
          <w:szCs w:val="28"/>
        </w:rPr>
        <w:t>贝谷科技</w:t>
      </w:r>
      <w:proofErr w:type="gramEnd"/>
      <w:r>
        <w:rPr>
          <w:rFonts w:ascii="Times New Roman" w:eastAsia="宋体" w:hAnsi="Times New Roman" w:cs="Times New Roman" w:hint="eastAsia"/>
          <w:sz w:val="24"/>
          <w:szCs w:val="28"/>
        </w:rPr>
        <w:t>100%</w:t>
      </w:r>
      <w:r>
        <w:rPr>
          <w:rFonts w:ascii="Times New Roman" w:eastAsia="宋体" w:hAnsi="Times New Roman" w:cs="Times New Roman" w:hint="eastAsia"/>
          <w:sz w:val="24"/>
          <w:szCs w:val="28"/>
        </w:rPr>
        <w:t>股权。</w:t>
      </w:r>
      <w:r>
        <w:rPr>
          <w:rFonts w:ascii="Times New Roman" w:eastAsia="宋体" w:hAnsi="Times New Roman" w:cs="Times New Roman"/>
          <w:sz w:val="24"/>
          <w:szCs w:val="28"/>
        </w:rPr>
        <w:t>本次交易的交易对方包括上市公司控股股东</w:t>
      </w:r>
      <w:r>
        <w:rPr>
          <w:rFonts w:ascii="Times New Roman" w:eastAsia="宋体" w:hAnsi="Times New Roman" w:cs="Times New Roman" w:hint="eastAsia"/>
          <w:sz w:val="24"/>
          <w:szCs w:val="28"/>
        </w:rPr>
        <w:t>中广核核技术应用有限公司</w:t>
      </w:r>
      <w:r>
        <w:rPr>
          <w:rFonts w:ascii="Times New Roman" w:eastAsia="宋体" w:hAnsi="Times New Roman" w:cs="Times New Roman"/>
          <w:sz w:val="24"/>
          <w:szCs w:val="28"/>
        </w:rPr>
        <w:t>及其控制的</w:t>
      </w:r>
      <w:r>
        <w:rPr>
          <w:rFonts w:ascii="Times New Roman" w:eastAsia="宋体" w:hAnsi="Times New Roman" w:cs="Times New Roman" w:hint="eastAsia"/>
          <w:sz w:val="24"/>
          <w:szCs w:val="28"/>
        </w:rPr>
        <w:t>中广核久源（成都）科技有限公司</w:t>
      </w:r>
      <w:r>
        <w:rPr>
          <w:rFonts w:ascii="Times New Roman" w:eastAsia="宋体" w:hAnsi="Times New Roman" w:cs="Times New Roman"/>
          <w:sz w:val="24"/>
          <w:szCs w:val="28"/>
        </w:rPr>
        <w:t>。根据《</w:t>
      </w:r>
      <w:r>
        <w:rPr>
          <w:rFonts w:ascii="Times New Roman" w:eastAsia="宋体" w:hAnsi="Times New Roman" w:cs="Times New Roman" w:hint="eastAsia"/>
          <w:sz w:val="24"/>
          <w:szCs w:val="28"/>
        </w:rPr>
        <w:t>深圳证券交易所股票</w:t>
      </w:r>
      <w:r>
        <w:rPr>
          <w:rFonts w:ascii="Times New Roman" w:eastAsia="宋体" w:hAnsi="Times New Roman" w:cs="Times New Roman"/>
          <w:sz w:val="24"/>
          <w:szCs w:val="28"/>
        </w:rPr>
        <w:t>上市规则》规定，本次交易构成关联交易。</w:t>
      </w:r>
      <w:r>
        <w:rPr>
          <w:rFonts w:ascii="Times New Roman" w:eastAsia="宋体" w:hAnsi="Times New Roman" w:cs="Times New Roman" w:hint="eastAsia"/>
          <w:sz w:val="24"/>
          <w:szCs w:val="28"/>
        </w:rPr>
        <w:t>根据《上市公司重大资产重组管理办法》等相关规定，本次交易不构成重大资产重组，不会导致公司实际控制人发生变更。</w:t>
      </w:r>
    </w:p>
    <w:p w14:paraId="17004A2E" w14:textId="77777777" w:rsidR="0001114A" w:rsidRDefault="00000000">
      <w:pPr>
        <w:spacing w:line="360" w:lineRule="auto"/>
        <w:ind w:firstLineChars="200" w:firstLine="482"/>
        <w:jc w:val="left"/>
        <w:rPr>
          <w:rFonts w:ascii="Times New Roman" w:eastAsia="宋体" w:hAnsi="Times New Roman" w:cs="Times New Roman"/>
          <w:b/>
          <w:bCs/>
          <w:sz w:val="24"/>
          <w:szCs w:val="28"/>
        </w:rPr>
      </w:pPr>
      <w:r>
        <w:rPr>
          <w:rFonts w:ascii="Times New Roman" w:eastAsia="宋体" w:hAnsi="Times New Roman" w:cs="Times New Roman" w:hint="eastAsia"/>
          <w:b/>
          <w:bCs/>
          <w:sz w:val="24"/>
          <w:szCs w:val="28"/>
        </w:rPr>
        <w:t>二、本次交易的历史披露情况</w:t>
      </w:r>
    </w:p>
    <w:p w14:paraId="012A97DD" w14:textId="77777777" w:rsidR="0001114A" w:rsidRDefault="00000000">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公司因筹划发行股份及支付现金购买资产暨关联交易事项，因有关事项尚存不确定性，为了维护投资者利益，避免对公司股价造成重大影响，根据深圳证券交易所的相关规定，经公司申请，公司证券（证券品种：</w:t>
      </w:r>
      <w:r>
        <w:rPr>
          <w:rFonts w:ascii="Times New Roman" w:eastAsia="宋体" w:hAnsi="Times New Roman" w:cs="Times New Roman"/>
          <w:sz w:val="24"/>
          <w:szCs w:val="28"/>
        </w:rPr>
        <w:t>A</w:t>
      </w:r>
      <w:r>
        <w:rPr>
          <w:rFonts w:ascii="Times New Roman" w:eastAsia="宋体" w:hAnsi="Times New Roman" w:cs="Times New Roman"/>
          <w:sz w:val="24"/>
          <w:szCs w:val="28"/>
        </w:rPr>
        <w:t>股股票，证券简称：</w:t>
      </w:r>
      <w:r>
        <w:rPr>
          <w:rFonts w:ascii="Times New Roman" w:eastAsia="宋体" w:hAnsi="Times New Roman" w:cs="Times New Roman"/>
          <w:sz w:val="24"/>
          <w:szCs w:val="28"/>
        </w:rPr>
        <w:lastRenderedPageBreak/>
        <w:t>中广核技，证券</w:t>
      </w:r>
      <w:r>
        <w:rPr>
          <w:rFonts w:ascii="Times New Roman" w:eastAsia="宋体" w:hAnsi="Times New Roman" w:cs="Times New Roman" w:hint="eastAsia"/>
          <w:sz w:val="24"/>
          <w:szCs w:val="28"/>
        </w:rPr>
        <w:t>代码：</w:t>
      </w:r>
      <w:r>
        <w:rPr>
          <w:rFonts w:ascii="Times New Roman" w:eastAsia="宋体" w:hAnsi="Times New Roman" w:cs="Times New Roman"/>
          <w:sz w:val="24"/>
          <w:szCs w:val="28"/>
        </w:rPr>
        <w:t>000881</w:t>
      </w:r>
      <w:r>
        <w:rPr>
          <w:rFonts w:ascii="Times New Roman" w:eastAsia="宋体" w:hAnsi="Times New Roman" w:cs="Times New Roman"/>
          <w:sz w:val="24"/>
          <w:szCs w:val="28"/>
        </w:rPr>
        <w:t>）自</w:t>
      </w:r>
      <w:r>
        <w:rPr>
          <w:rFonts w:ascii="Times New Roman" w:eastAsia="宋体" w:hAnsi="Times New Roman" w:cs="Times New Roman"/>
          <w:sz w:val="24"/>
          <w:szCs w:val="28"/>
        </w:rPr>
        <w:t>2022</w:t>
      </w:r>
      <w:r>
        <w:rPr>
          <w:rFonts w:ascii="Times New Roman" w:eastAsia="宋体" w:hAnsi="Times New Roman" w:cs="Times New Roman"/>
          <w:sz w:val="24"/>
          <w:szCs w:val="28"/>
        </w:rPr>
        <w:t>年</w:t>
      </w:r>
      <w:r>
        <w:rPr>
          <w:rFonts w:ascii="Times New Roman" w:eastAsia="宋体" w:hAnsi="Times New Roman" w:cs="Times New Roman"/>
          <w:sz w:val="24"/>
          <w:szCs w:val="28"/>
        </w:rPr>
        <w:t>6</w:t>
      </w:r>
      <w:r>
        <w:rPr>
          <w:rFonts w:ascii="Times New Roman" w:eastAsia="宋体" w:hAnsi="Times New Roman" w:cs="Times New Roman"/>
          <w:sz w:val="24"/>
          <w:szCs w:val="28"/>
        </w:rPr>
        <w:t>月</w:t>
      </w:r>
      <w:r>
        <w:rPr>
          <w:rFonts w:ascii="Times New Roman" w:eastAsia="宋体" w:hAnsi="Times New Roman" w:cs="Times New Roman"/>
          <w:sz w:val="24"/>
          <w:szCs w:val="28"/>
        </w:rPr>
        <w:t>28</w:t>
      </w:r>
      <w:r>
        <w:rPr>
          <w:rFonts w:ascii="Times New Roman" w:eastAsia="宋体" w:hAnsi="Times New Roman" w:cs="Times New Roman"/>
          <w:sz w:val="24"/>
          <w:szCs w:val="28"/>
        </w:rPr>
        <w:t>日开市起开始停牌。</w:t>
      </w:r>
    </w:p>
    <w:p w14:paraId="5A10A1E5" w14:textId="77777777" w:rsidR="0001114A" w:rsidRDefault="00000000">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sz w:val="24"/>
          <w:szCs w:val="28"/>
        </w:rPr>
        <w:t>022</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6</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2</w:t>
      </w:r>
      <w:r>
        <w:rPr>
          <w:rFonts w:ascii="Times New Roman" w:eastAsia="宋体" w:hAnsi="Times New Roman" w:cs="Times New Roman"/>
          <w:sz w:val="24"/>
          <w:szCs w:val="28"/>
        </w:rPr>
        <w:t>9</w:t>
      </w:r>
      <w:r>
        <w:rPr>
          <w:rFonts w:ascii="Times New Roman" w:eastAsia="宋体" w:hAnsi="Times New Roman" w:cs="Times New Roman" w:hint="eastAsia"/>
          <w:sz w:val="24"/>
          <w:szCs w:val="28"/>
        </w:rPr>
        <w:t>日，公司召开了第九届董事会第二十八次会议，审议通过了《关于</w:t>
      </w:r>
      <w:r>
        <w:rPr>
          <w:rFonts w:ascii="Times New Roman" w:eastAsia="宋体" w:hAnsi="Times New Roman" w:cs="Times New Roman"/>
          <w:sz w:val="24"/>
          <w:szCs w:val="28"/>
        </w:rPr>
        <w:t>&lt;</w:t>
      </w:r>
      <w:r>
        <w:rPr>
          <w:rFonts w:ascii="Times New Roman" w:eastAsia="宋体" w:hAnsi="Times New Roman" w:cs="Times New Roman"/>
          <w:sz w:val="24"/>
          <w:szCs w:val="28"/>
        </w:rPr>
        <w:t>中广核核技术发展股份有限公司发行股份购买资产</w:t>
      </w:r>
      <w:r>
        <w:rPr>
          <w:rFonts w:ascii="Times New Roman" w:eastAsia="宋体" w:hAnsi="Times New Roman" w:cs="Times New Roman" w:hint="eastAsia"/>
          <w:sz w:val="24"/>
          <w:szCs w:val="28"/>
        </w:rPr>
        <w:t>暨关联交易报告书（草案）</w:t>
      </w:r>
      <w:r>
        <w:rPr>
          <w:rFonts w:ascii="Times New Roman" w:eastAsia="宋体" w:hAnsi="Times New Roman" w:cs="Times New Roman"/>
          <w:sz w:val="24"/>
          <w:szCs w:val="28"/>
        </w:rPr>
        <w:t>&gt;</w:t>
      </w:r>
      <w:r>
        <w:rPr>
          <w:rFonts w:ascii="Times New Roman" w:eastAsia="宋体" w:hAnsi="Times New Roman" w:cs="Times New Roman"/>
          <w:sz w:val="24"/>
          <w:szCs w:val="28"/>
        </w:rPr>
        <w:t>及其摘要的议案</w:t>
      </w:r>
      <w:r>
        <w:rPr>
          <w:rFonts w:ascii="Times New Roman" w:eastAsia="宋体" w:hAnsi="Times New Roman" w:cs="Times New Roman" w:hint="eastAsia"/>
          <w:sz w:val="24"/>
          <w:szCs w:val="28"/>
        </w:rPr>
        <w:t>》等相关议案。经公司申请，公司股票于</w:t>
      </w:r>
      <w:r>
        <w:rPr>
          <w:rFonts w:ascii="Times New Roman" w:eastAsia="宋体" w:hAnsi="Times New Roman" w:cs="Times New Roman" w:hint="eastAsia"/>
          <w:sz w:val="24"/>
          <w:szCs w:val="28"/>
        </w:rPr>
        <w:t>2</w:t>
      </w:r>
      <w:r>
        <w:rPr>
          <w:rFonts w:ascii="Times New Roman" w:eastAsia="宋体" w:hAnsi="Times New Roman" w:cs="Times New Roman"/>
          <w:sz w:val="24"/>
          <w:szCs w:val="28"/>
        </w:rPr>
        <w:t>022</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7</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日开市起复牌。具体内容详见公司分别于</w:t>
      </w:r>
      <w:r>
        <w:rPr>
          <w:rFonts w:ascii="Times New Roman" w:eastAsia="宋体" w:hAnsi="Times New Roman" w:cs="Times New Roman" w:hint="eastAsia"/>
          <w:sz w:val="24"/>
          <w:szCs w:val="28"/>
        </w:rPr>
        <w:t>2</w:t>
      </w:r>
      <w:r>
        <w:rPr>
          <w:rFonts w:ascii="Times New Roman" w:eastAsia="宋体" w:hAnsi="Times New Roman" w:cs="Times New Roman"/>
          <w:sz w:val="24"/>
          <w:szCs w:val="28"/>
        </w:rPr>
        <w:t>022</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6</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28</w:t>
      </w:r>
      <w:r>
        <w:rPr>
          <w:rFonts w:ascii="Times New Roman" w:eastAsia="宋体" w:hAnsi="Times New Roman" w:cs="Times New Roman" w:hint="eastAsia"/>
          <w:sz w:val="24"/>
          <w:szCs w:val="28"/>
        </w:rPr>
        <w:t>日、</w:t>
      </w:r>
      <w:r>
        <w:rPr>
          <w:rFonts w:ascii="Times New Roman" w:eastAsia="宋体" w:hAnsi="Times New Roman" w:cs="Times New Roman" w:hint="eastAsia"/>
          <w:sz w:val="24"/>
          <w:szCs w:val="28"/>
        </w:rPr>
        <w:t>7</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日发布的相关公告。</w:t>
      </w:r>
    </w:p>
    <w:p w14:paraId="4B1FB944" w14:textId="77777777" w:rsidR="0001114A" w:rsidRDefault="00000000">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2022</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7</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30</w:t>
      </w:r>
      <w:r>
        <w:rPr>
          <w:rFonts w:ascii="Times New Roman" w:eastAsia="宋体" w:hAnsi="Times New Roman" w:cs="Times New Roman" w:hint="eastAsia"/>
          <w:sz w:val="24"/>
          <w:szCs w:val="28"/>
        </w:rPr>
        <w:t>日，公司披露了《关于发行股份及支付现金购买资产暨关联交易事项的进展公告》（公告编号：</w:t>
      </w:r>
      <w:r>
        <w:rPr>
          <w:rFonts w:ascii="Times New Roman" w:eastAsia="宋体" w:hAnsi="Times New Roman" w:cs="Times New Roman" w:hint="eastAsia"/>
          <w:sz w:val="24"/>
          <w:szCs w:val="28"/>
        </w:rPr>
        <w:t>2022-044</w:t>
      </w:r>
      <w:r>
        <w:rPr>
          <w:rFonts w:ascii="Times New Roman" w:eastAsia="宋体" w:hAnsi="Times New Roman" w:cs="Times New Roman" w:hint="eastAsia"/>
          <w:sz w:val="24"/>
          <w:szCs w:val="28"/>
        </w:rPr>
        <w:t>）。</w:t>
      </w:r>
    </w:p>
    <w:p w14:paraId="1B133A4D" w14:textId="77777777" w:rsidR="0001114A" w:rsidRDefault="00000000">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sz w:val="24"/>
          <w:szCs w:val="28"/>
        </w:rPr>
        <w:t>022</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8</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3</w:t>
      </w:r>
      <w:r>
        <w:rPr>
          <w:rFonts w:ascii="Times New Roman" w:eastAsia="宋体" w:hAnsi="Times New Roman" w:cs="Times New Roman"/>
          <w:sz w:val="24"/>
          <w:szCs w:val="28"/>
        </w:rPr>
        <w:t>0</w:t>
      </w:r>
      <w:r>
        <w:rPr>
          <w:rFonts w:ascii="Times New Roman" w:eastAsia="宋体" w:hAnsi="Times New Roman" w:cs="Times New Roman" w:hint="eastAsia"/>
          <w:sz w:val="24"/>
          <w:szCs w:val="28"/>
        </w:rPr>
        <w:t>日，公司披露了《关于发行股份及支付现金购买资产暨关联交易事项的进展公告》（公告编号：</w:t>
      </w:r>
      <w:r>
        <w:rPr>
          <w:rFonts w:ascii="Times New Roman" w:eastAsia="宋体" w:hAnsi="Times New Roman" w:cs="Times New Roman" w:hint="eastAsia"/>
          <w:sz w:val="24"/>
          <w:szCs w:val="28"/>
        </w:rPr>
        <w:t>2</w:t>
      </w:r>
      <w:r>
        <w:rPr>
          <w:rFonts w:ascii="Times New Roman" w:eastAsia="宋体" w:hAnsi="Times New Roman" w:cs="Times New Roman"/>
          <w:sz w:val="24"/>
          <w:szCs w:val="28"/>
        </w:rPr>
        <w:t>022</w:t>
      </w:r>
      <w:r>
        <w:rPr>
          <w:rFonts w:ascii="Times New Roman" w:eastAsia="宋体" w:hAnsi="Times New Roman" w:cs="Times New Roman" w:hint="eastAsia"/>
          <w:sz w:val="24"/>
          <w:szCs w:val="28"/>
        </w:rPr>
        <w:t>-</w:t>
      </w:r>
      <w:r>
        <w:rPr>
          <w:rFonts w:ascii="Times New Roman" w:eastAsia="宋体" w:hAnsi="Times New Roman" w:cs="Times New Roman"/>
          <w:sz w:val="24"/>
          <w:szCs w:val="28"/>
        </w:rPr>
        <w:t>061</w:t>
      </w:r>
      <w:r>
        <w:rPr>
          <w:rFonts w:ascii="Times New Roman" w:eastAsia="宋体" w:hAnsi="Times New Roman" w:cs="Times New Roman" w:hint="eastAsia"/>
          <w:sz w:val="24"/>
          <w:szCs w:val="28"/>
        </w:rPr>
        <w:t>）。</w:t>
      </w:r>
    </w:p>
    <w:p w14:paraId="4BB05238" w14:textId="0E086AE9" w:rsidR="0001114A" w:rsidRDefault="00000000">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sz w:val="24"/>
          <w:szCs w:val="28"/>
        </w:rPr>
        <w:t>022</w:t>
      </w:r>
      <w:r>
        <w:rPr>
          <w:rFonts w:ascii="Times New Roman" w:eastAsia="宋体" w:hAnsi="Times New Roman" w:cs="Times New Roman" w:hint="eastAsia"/>
          <w:sz w:val="24"/>
          <w:szCs w:val="28"/>
        </w:rPr>
        <w:t>年</w:t>
      </w:r>
      <w:r>
        <w:rPr>
          <w:rFonts w:ascii="Times New Roman" w:eastAsia="宋体" w:hAnsi="Times New Roman" w:cs="Times New Roman"/>
          <w:sz w:val="24"/>
          <w:szCs w:val="28"/>
        </w:rPr>
        <w:t>9</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3</w:t>
      </w:r>
      <w:r>
        <w:rPr>
          <w:rFonts w:ascii="Times New Roman" w:eastAsia="宋体" w:hAnsi="Times New Roman" w:cs="Times New Roman"/>
          <w:sz w:val="24"/>
          <w:szCs w:val="28"/>
        </w:rPr>
        <w:t>0</w:t>
      </w:r>
      <w:r>
        <w:rPr>
          <w:rFonts w:ascii="Times New Roman" w:eastAsia="宋体" w:hAnsi="Times New Roman" w:cs="Times New Roman" w:hint="eastAsia"/>
          <w:sz w:val="24"/>
          <w:szCs w:val="28"/>
        </w:rPr>
        <w:t>日，公司披露了《关于发行股份及支付现金购买资产暨关联交易事项的进展公告》（公告编号：</w:t>
      </w:r>
      <w:r>
        <w:rPr>
          <w:rFonts w:ascii="Times New Roman" w:eastAsia="宋体" w:hAnsi="Times New Roman" w:cs="Times New Roman" w:hint="eastAsia"/>
          <w:sz w:val="24"/>
          <w:szCs w:val="28"/>
        </w:rPr>
        <w:t>2</w:t>
      </w:r>
      <w:r>
        <w:rPr>
          <w:rFonts w:ascii="Times New Roman" w:eastAsia="宋体" w:hAnsi="Times New Roman" w:cs="Times New Roman"/>
          <w:sz w:val="24"/>
          <w:szCs w:val="28"/>
        </w:rPr>
        <w:t>022</w:t>
      </w:r>
      <w:r>
        <w:rPr>
          <w:rFonts w:ascii="Times New Roman" w:eastAsia="宋体" w:hAnsi="Times New Roman" w:cs="Times New Roman" w:hint="eastAsia"/>
          <w:sz w:val="24"/>
          <w:szCs w:val="28"/>
        </w:rPr>
        <w:t>-</w:t>
      </w:r>
      <w:r>
        <w:rPr>
          <w:rFonts w:ascii="Times New Roman" w:eastAsia="宋体" w:hAnsi="Times New Roman" w:cs="Times New Roman"/>
          <w:sz w:val="24"/>
          <w:szCs w:val="28"/>
        </w:rPr>
        <w:t>064</w:t>
      </w:r>
      <w:r>
        <w:rPr>
          <w:rFonts w:ascii="Times New Roman" w:eastAsia="宋体" w:hAnsi="Times New Roman" w:cs="Times New Roman" w:hint="eastAsia"/>
          <w:sz w:val="24"/>
          <w:szCs w:val="28"/>
        </w:rPr>
        <w:t>）。</w:t>
      </w:r>
    </w:p>
    <w:p w14:paraId="1CC49C01" w14:textId="41C73A8D" w:rsidR="00EE22A1" w:rsidRDefault="00EE22A1" w:rsidP="00EE22A1">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sz w:val="24"/>
          <w:szCs w:val="28"/>
        </w:rPr>
        <w:t>022</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1</w:t>
      </w:r>
      <w:r>
        <w:rPr>
          <w:rFonts w:ascii="Times New Roman" w:eastAsia="宋体" w:hAnsi="Times New Roman" w:cs="Times New Roman"/>
          <w:sz w:val="24"/>
          <w:szCs w:val="28"/>
        </w:rPr>
        <w:t>0</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3</w:t>
      </w:r>
      <w:r>
        <w:rPr>
          <w:rFonts w:ascii="Times New Roman" w:eastAsia="宋体" w:hAnsi="Times New Roman" w:cs="Times New Roman"/>
          <w:sz w:val="24"/>
          <w:szCs w:val="28"/>
        </w:rPr>
        <w:t>1</w:t>
      </w:r>
      <w:r>
        <w:rPr>
          <w:rFonts w:ascii="Times New Roman" w:eastAsia="宋体" w:hAnsi="Times New Roman" w:cs="Times New Roman" w:hint="eastAsia"/>
          <w:sz w:val="24"/>
          <w:szCs w:val="28"/>
        </w:rPr>
        <w:t>日，公司披露了《关于发行股份及支付现金购买资产暨关联交易事项的进展公告》（公告编号：</w:t>
      </w:r>
      <w:r>
        <w:rPr>
          <w:rFonts w:ascii="Times New Roman" w:eastAsia="宋体" w:hAnsi="Times New Roman" w:cs="Times New Roman" w:hint="eastAsia"/>
          <w:sz w:val="24"/>
          <w:szCs w:val="28"/>
        </w:rPr>
        <w:t>2</w:t>
      </w:r>
      <w:r>
        <w:rPr>
          <w:rFonts w:ascii="Times New Roman" w:eastAsia="宋体" w:hAnsi="Times New Roman" w:cs="Times New Roman"/>
          <w:sz w:val="24"/>
          <w:szCs w:val="28"/>
        </w:rPr>
        <w:t>022</w:t>
      </w:r>
      <w:r>
        <w:rPr>
          <w:rFonts w:ascii="Times New Roman" w:eastAsia="宋体" w:hAnsi="Times New Roman" w:cs="Times New Roman" w:hint="eastAsia"/>
          <w:sz w:val="24"/>
          <w:szCs w:val="28"/>
        </w:rPr>
        <w:t>-</w:t>
      </w:r>
      <w:r>
        <w:rPr>
          <w:rFonts w:ascii="Times New Roman" w:eastAsia="宋体" w:hAnsi="Times New Roman" w:cs="Times New Roman"/>
          <w:sz w:val="24"/>
          <w:szCs w:val="28"/>
        </w:rPr>
        <w:t>076</w:t>
      </w:r>
      <w:r>
        <w:rPr>
          <w:rFonts w:ascii="Times New Roman" w:eastAsia="宋体" w:hAnsi="Times New Roman" w:cs="Times New Roman" w:hint="eastAsia"/>
          <w:sz w:val="24"/>
          <w:szCs w:val="28"/>
        </w:rPr>
        <w:t>）。</w:t>
      </w:r>
    </w:p>
    <w:p w14:paraId="131E0832" w14:textId="2D8B2FB1" w:rsidR="00A62913" w:rsidRDefault="00A62913" w:rsidP="00EE22A1">
      <w:pPr>
        <w:spacing w:line="360" w:lineRule="auto"/>
        <w:ind w:firstLineChars="200" w:firstLine="480"/>
        <w:rPr>
          <w:rFonts w:ascii="Times New Roman" w:eastAsia="宋体" w:hAnsi="Times New Roman" w:cs="Times New Roman"/>
          <w:sz w:val="24"/>
          <w:szCs w:val="28"/>
        </w:rPr>
      </w:pPr>
      <w:r w:rsidRPr="00A62913">
        <w:rPr>
          <w:rFonts w:ascii="Times New Roman" w:eastAsia="宋体" w:hAnsi="Times New Roman" w:cs="Times New Roman"/>
          <w:sz w:val="24"/>
          <w:szCs w:val="28"/>
        </w:rPr>
        <w:t>2022</w:t>
      </w:r>
      <w:r w:rsidRPr="00A62913">
        <w:rPr>
          <w:rFonts w:ascii="Times New Roman" w:eastAsia="宋体" w:hAnsi="Times New Roman" w:cs="Times New Roman"/>
          <w:sz w:val="24"/>
          <w:szCs w:val="28"/>
        </w:rPr>
        <w:t>年</w:t>
      </w:r>
      <w:r w:rsidRPr="00A62913">
        <w:rPr>
          <w:rFonts w:ascii="Times New Roman" w:eastAsia="宋体" w:hAnsi="Times New Roman" w:cs="Times New Roman"/>
          <w:sz w:val="24"/>
          <w:szCs w:val="28"/>
        </w:rPr>
        <w:t>11</w:t>
      </w:r>
      <w:r w:rsidRPr="00A62913">
        <w:rPr>
          <w:rFonts w:ascii="Times New Roman" w:eastAsia="宋体" w:hAnsi="Times New Roman" w:cs="Times New Roman"/>
          <w:sz w:val="24"/>
          <w:szCs w:val="28"/>
        </w:rPr>
        <w:t>月</w:t>
      </w:r>
      <w:r w:rsidRPr="00A62913">
        <w:rPr>
          <w:rFonts w:ascii="Times New Roman" w:eastAsia="宋体" w:hAnsi="Times New Roman" w:cs="Times New Roman"/>
          <w:sz w:val="24"/>
          <w:szCs w:val="28"/>
        </w:rPr>
        <w:t>30</w:t>
      </w:r>
      <w:r w:rsidRPr="00A62913">
        <w:rPr>
          <w:rFonts w:ascii="Times New Roman" w:eastAsia="宋体" w:hAnsi="Times New Roman" w:cs="Times New Roman"/>
          <w:sz w:val="24"/>
          <w:szCs w:val="28"/>
        </w:rPr>
        <w:t>日，公司披露了《关于发行股份及支付现金购买资产暨关联交易事项的进展公告》（公告编号：</w:t>
      </w:r>
      <w:r w:rsidRPr="00A62913">
        <w:rPr>
          <w:rFonts w:ascii="Times New Roman" w:eastAsia="宋体" w:hAnsi="Times New Roman" w:cs="Times New Roman"/>
          <w:sz w:val="24"/>
          <w:szCs w:val="28"/>
        </w:rPr>
        <w:t>2022-079</w:t>
      </w:r>
      <w:r w:rsidRPr="00A62913">
        <w:rPr>
          <w:rFonts w:ascii="Times New Roman" w:eastAsia="宋体" w:hAnsi="Times New Roman" w:cs="Times New Roman"/>
          <w:sz w:val="24"/>
          <w:szCs w:val="28"/>
        </w:rPr>
        <w:t>）。</w:t>
      </w:r>
    </w:p>
    <w:p w14:paraId="4FB15F5C" w14:textId="750A98FA" w:rsidR="00A62913" w:rsidRPr="00A62913" w:rsidRDefault="00A62913" w:rsidP="00EE22A1">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sz w:val="24"/>
          <w:szCs w:val="28"/>
        </w:rPr>
        <w:t>022</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1</w:t>
      </w:r>
      <w:r>
        <w:rPr>
          <w:rFonts w:ascii="Times New Roman" w:eastAsia="宋体" w:hAnsi="Times New Roman" w:cs="Times New Roman"/>
          <w:sz w:val="24"/>
          <w:szCs w:val="28"/>
        </w:rPr>
        <w:t>2</w:t>
      </w:r>
      <w:r>
        <w:rPr>
          <w:rFonts w:ascii="Times New Roman" w:eastAsia="宋体" w:hAnsi="Times New Roman" w:cs="Times New Roman" w:hint="eastAsia"/>
          <w:sz w:val="24"/>
          <w:szCs w:val="28"/>
        </w:rPr>
        <w:t>月</w:t>
      </w:r>
      <w:r>
        <w:rPr>
          <w:rFonts w:ascii="Times New Roman" w:eastAsia="宋体" w:hAnsi="Times New Roman" w:cs="Times New Roman"/>
          <w:sz w:val="24"/>
          <w:szCs w:val="28"/>
        </w:rPr>
        <w:t>31</w:t>
      </w:r>
      <w:r>
        <w:rPr>
          <w:rFonts w:ascii="Times New Roman" w:eastAsia="宋体" w:hAnsi="Times New Roman" w:cs="Times New Roman" w:hint="eastAsia"/>
          <w:sz w:val="24"/>
          <w:szCs w:val="28"/>
        </w:rPr>
        <w:t>日，公司披露了《</w:t>
      </w:r>
      <w:r w:rsidRPr="00A62913">
        <w:rPr>
          <w:rFonts w:ascii="Times New Roman" w:eastAsia="宋体" w:hAnsi="Times New Roman" w:cs="Times New Roman" w:hint="eastAsia"/>
          <w:sz w:val="24"/>
          <w:szCs w:val="28"/>
        </w:rPr>
        <w:t>关于发行股份及支付现金购买资产暨关联交易进展及无法在规定时间内发出召开股东大会通知的专项说明</w:t>
      </w:r>
      <w:r>
        <w:rPr>
          <w:rFonts w:ascii="Times New Roman" w:eastAsia="宋体" w:hAnsi="Times New Roman" w:cs="Times New Roman" w:hint="eastAsia"/>
          <w:sz w:val="24"/>
          <w:szCs w:val="28"/>
        </w:rPr>
        <w:t>》</w:t>
      </w:r>
      <w:r w:rsidRPr="00A62913">
        <w:rPr>
          <w:rFonts w:ascii="Times New Roman" w:eastAsia="宋体" w:hAnsi="Times New Roman" w:cs="Times New Roman" w:hint="eastAsia"/>
          <w:sz w:val="24"/>
          <w:szCs w:val="28"/>
        </w:rPr>
        <w:t>（公告编号：</w:t>
      </w:r>
      <w:r w:rsidRPr="00A62913">
        <w:rPr>
          <w:rFonts w:ascii="Times New Roman" w:eastAsia="宋体" w:hAnsi="Times New Roman" w:cs="Times New Roman"/>
          <w:sz w:val="24"/>
          <w:szCs w:val="28"/>
        </w:rPr>
        <w:t>2022-0</w:t>
      </w:r>
      <w:r>
        <w:rPr>
          <w:rFonts w:ascii="Times New Roman" w:eastAsia="宋体" w:hAnsi="Times New Roman" w:cs="Times New Roman"/>
          <w:sz w:val="24"/>
          <w:szCs w:val="28"/>
        </w:rPr>
        <w:t>88</w:t>
      </w:r>
      <w:r w:rsidRPr="00A62913">
        <w:rPr>
          <w:rFonts w:ascii="Times New Roman" w:eastAsia="宋体" w:hAnsi="Times New Roman" w:cs="Times New Roman"/>
          <w:sz w:val="24"/>
          <w:szCs w:val="28"/>
        </w:rPr>
        <w:t>）</w:t>
      </w:r>
      <w:r>
        <w:rPr>
          <w:rFonts w:ascii="Times New Roman" w:eastAsia="宋体" w:hAnsi="Times New Roman" w:cs="Times New Roman" w:hint="eastAsia"/>
          <w:sz w:val="24"/>
          <w:szCs w:val="28"/>
        </w:rPr>
        <w:t>。</w:t>
      </w:r>
    </w:p>
    <w:p w14:paraId="464F1BAA" w14:textId="77777777" w:rsidR="0001114A" w:rsidRDefault="00000000">
      <w:pPr>
        <w:spacing w:line="360" w:lineRule="auto"/>
        <w:ind w:firstLineChars="200" w:firstLine="482"/>
        <w:jc w:val="left"/>
        <w:rPr>
          <w:rFonts w:ascii="Times New Roman" w:eastAsia="宋体" w:hAnsi="Times New Roman" w:cs="Times New Roman"/>
          <w:b/>
          <w:bCs/>
          <w:sz w:val="24"/>
          <w:szCs w:val="28"/>
        </w:rPr>
      </w:pPr>
      <w:r>
        <w:rPr>
          <w:rFonts w:ascii="Times New Roman" w:eastAsia="宋体" w:hAnsi="Times New Roman" w:cs="Times New Roman" w:hint="eastAsia"/>
          <w:b/>
          <w:bCs/>
          <w:sz w:val="24"/>
          <w:szCs w:val="28"/>
        </w:rPr>
        <w:t>三、本次交易的进展情况</w:t>
      </w:r>
    </w:p>
    <w:p w14:paraId="578B7E78" w14:textId="0A1E1F70" w:rsidR="007B3E1F" w:rsidRDefault="007B3E1F" w:rsidP="00EE22A1">
      <w:pPr>
        <w:spacing w:line="360" w:lineRule="auto"/>
        <w:ind w:firstLineChars="200" w:firstLine="480"/>
        <w:rPr>
          <w:rFonts w:ascii="Times New Roman" w:eastAsia="宋体" w:hAnsi="Times New Roman" w:cs="Times New Roman"/>
          <w:sz w:val="24"/>
          <w:szCs w:val="28"/>
        </w:rPr>
      </w:pPr>
      <w:r w:rsidRPr="007B3E1F">
        <w:rPr>
          <w:rFonts w:ascii="Times New Roman" w:eastAsia="宋体" w:hAnsi="Times New Roman" w:cs="Times New Roman" w:hint="eastAsia"/>
          <w:sz w:val="24"/>
          <w:szCs w:val="28"/>
        </w:rPr>
        <w:t>自重组报告书披露以来，公司及相关各方积极推进本次交易的各项工作。截至本公告披露日，根据相关法律法规对评估报告时效性的要求，本次交易评估报告已过有效期，公司正与交易各方协商重新确定审计、评估基准日后相应开展新一期审计、资产评估工作，并与交易对方就本次交易具体细节进行沟通协商，待相关工作完成后，公司将再次召开董事会审议本次交易的相关事项，并按照相关法律法规的规定履行有关的后续审批及信息披露程序。</w:t>
      </w:r>
    </w:p>
    <w:p w14:paraId="68813859" w14:textId="77777777" w:rsidR="0001114A" w:rsidRDefault="00000000">
      <w:pPr>
        <w:spacing w:line="360" w:lineRule="auto"/>
        <w:ind w:firstLineChars="200" w:firstLine="482"/>
        <w:jc w:val="left"/>
        <w:rPr>
          <w:rFonts w:ascii="Times New Roman" w:eastAsia="宋体" w:hAnsi="Times New Roman" w:cs="Times New Roman"/>
          <w:b/>
          <w:bCs/>
          <w:sz w:val="24"/>
          <w:szCs w:val="28"/>
        </w:rPr>
      </w:pPr>
      <w:r>
        <w:rPr>
          <w:rFonts w:ascii="Times New Roman" w:eastAsia="宋体" w:hAnsi="Times New Roman" w:cs="Times New Roman" w:hint="eastAsia"/>
          <w:b/>
          <w:bCs/>
          <w:sz w:val="24"/>
          <w:szCs w:val="28"/>
        </w:rPr>
        <w:t>四、风险提示</w:t>
      </w:r>
    </w:p>
    <w:p w14:paraId="405B913D" w14:textId="77777777" w:rsidR="0001114A" w:rsidRDefault="00000000">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本次交易尚需履行必要的内部决策程序，并需经有权监管机构批准后方可正式实施，能否实施尚存在较大不确定性，有关信息均以公司指定信息披露媒体发</w:t>
      </w:r>
      <w:r>
        <w:rPr>
          <w:rFonts w:ascii="Times New Roman" w:eastAsia="宋体" w:hAnsi="Times New Roman" w:cs="Times New Roman"/>
          <w:sz w:val="24"/>
          <w:szCs w:val="28"/>
        </w:rPr>
        <w:lastRenderedPageBreak/>
        <w:t>布的公告为准。敬请广大投资者关注后续公告并注意投资风险。</w:t>
      </w:r>
    </w:p>
    <w:p w14:paraId="13DFA203" w14:textId="77777777" w:rsidR="0001114A" w:rsidRDefault="00000000">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公司将按照相关法律法规的规定履行后续信息披露义务，在尚未发出股东大会通知审议公司本次交易事项之前，每三十日就本次交易的最新进展发布一次进展公告。</w:t>
      </w:r>
    </w:p>
    <w:p w14:paraId="05570032" w14:textId="77777777" w:rsidR="0001114A" w:rsidRDefault="00000000">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特此公告。</w:t>
      </w:r>
    </w:p>
    <w:p w14:paraId="75AF2CFE" w14:textId="77777777" w:rsidR="0001114A" w:rsidRDefault="0001114A">
      <w:pPr>
        <w:spacing w:line="360" w:lineRule="auto"/>
        <w:ind w:firstLineChars="200" w:firstLine="482"/>
        <w:jc w:val="right"/>
        <w:rPr>
          <w:rFonts w:ascii="Times New Roman" w:eastAsia="宋体" w:hAnsi="Times New Roman" w:cs="Times New Roman"/>
          <w:b/>
          <w:bCs/>
          <w:sz w:val="24"/>
          <w:szCs w:val="28"/>
        </w:rPr>
      </w:pPr>
    </w:p>
    <w:p w14:paraId="5C5DFA44" w14:textId="77777777" w:rsidR="0001114A" w:rsidRDefault="0001114A">
      <w:pPr>
        <w:spacing w:line="360" w:lineRule="auto"/>
        <w:ind w:firstLineChars="200" w:firstLine="482"/>
        <w:jc w:val="right"/>
        <w:rPr>
          <w:rFonts w:ascii="Times New Roman" w:eastAsia="宋体" w:hAnsi="Times New Roman" w:cs="Times New Roman"/>
          <w:b/>
          <w:bCs/>
          <w:sz w:val="24"/>
          <w:szCs w:val="28"/>
        </w:rPr>
      </w:pPr>
    </w:p>
    <w:p w14:paraId="1C56F56C" w14:textId="77777777" w:rsidR="0001114A" w:rsidRDefault="0001114A">
      <w:pPr>
        <w:spacing w:line="360" w:lineRule="auto"/>
        <w:ind w:firstLineChars="200" w:firstLine="482"/>
        <w:jc w:val="right"/>
        <w:rPr>
          <w:rFonts w:ascii="Times New Roman" w:eastAsia="宋体" w:hAnsi="Times New Roman" w:cs="Times New Roman"/>
          <w:b/>
          <w:bCs/>
          <w:sz w:val="24"/>
          <w:szCs w:val="28"/>
        </w:rPr>
      </w:pPr>
    </w:p>
    <w:p w14:paraId="4F11E73B" w14:textId="77777777" w:rsidR="0001114A" w:rsidRDefault="00000000">
      <w:pPr>
        <w:spacing w:line="360" w:lineRule="auto"/>
        <w:ind w:firstLineChars="200" w:firstLine="482"/>
        <w:jc w:val="right"/>
        <w:rPr>
          <w:rFonts w:ascii="Times New Roman" w:eastAsia="宋体" w:hAnsi="Times New Roman" w:cs="Times New Roman"/>
          <w:b/>
          <w:bCs/>
          <w:sz w:val="24"/>
          <w:szCs w:val="28"/>
        </w:rPr>
      </w:pPr>
      <w:r>
        <w:rPr>
          <w:rFonts w:ascii="Times New Roman" w:eastAsia="宋体" w:hAnsi="Times New Roman" w:cs="Times New Roman"/>
          <w:b/>
          <w:bCs/>
          <w:sz w:val="24"/>
          <w:szCs w:val="28"/>
        </w:rPr>
        <w:t>中广核核技术发展股份有限公司</w:t>
      </w:r>
    </w:p>
    <w:p w14:paraId="7CE0A8B5" w14:textId="77777777" w:rsidR="0001114A" w:rsidRDefault="00000000">
      <w:pPr>
        <w:spacing w:line="360" w:lineRule="auto"/>
        <w:ind w:firstLineChars="200" w:firstLine="482"/>
        <w:jc w:val="right"/>
        <w:rPr>
          <w:rFonts w:ascii="Times New Roman" w:eastAsia="宋体" w:hAnsi="Times New Roman" w:cs="Times New Roman"/>
          <w:b/>
          <w:bCs/>
          <w:sz w:val="24"/>
          <w:szCs w:val="28"/>
        </w:rPr>
      </w:pPr>
      <w:r>
        <w:rPr>
          <w:rFonts w:ascii="Times New Roman" w:eastAsia="宋体" w:hAnsi="Times New Roman" w:cs="Times New Roman"/>
          <w:b/>
          <w:bCs/>
          <w:sz w:val="24"/>
          <w:szCs w:val="28"/>
        </w:rPr>
        <w:t>董事会</w:t>
      </w:r>
    </w:p>
    <w:p w14:paraId="51B525A2" w14:textId="063A1BC8" w:rsidR="0001114A" w:rsidRDefault="00000000">
      <w:pPr>
        <w:spacing w:line="360" w:lineRule="auto"/>
        <w:ind w:firstLineChars="200" w:firstLine="482"/>
        <w:jc w:val="right"/>
        <w:rPr>
          <w:rFonts w:ascii="Times New Roman" w:eastAsia="宋体" w:hAnsi="Times New Roman" w:cs="Times New Roman"/>
          <w:b/>
          <w:bCs/>
          <w:sz w:val="24"/>
          <w:szCs w:val="28"/>
        </w:rPr>
      </w:pPr>
      <w:r>
        <w:rPr>
          <w:rFonts w:ascii="Times New Roman" w:eastAsia="宋体" w:hAnsi="Times New Roman" w:cs="Times New Roman"/>
          <w:b/>
          <w:bCs/>
          <w:sz w:val="24"/>
          <w:szCs w:val="28"/>
        </w:rPr>
        <w:t>202</w:t>
      </w:r>
      <w:r w:rsidR="00A62913">
        <w:rPr>
          <w:rFonts w:ascii="Times New Roman" w:eastAsia="宋体" w:hAnsi="Times New Roman" w:cs="Times New Roman"/>
          <w:b/>
          <w:bCs/>
          <w:sz w:val="24"/>
          <w:szCs w:val="28"/>
        </w:rPr>
        <w:t>3</w:t>
      </w:r>
      <w:r>
        <w:rPr>
          <w:rFonts w:ascii="Times New Roman" w:eastAsia="宋体" w:hAnsi="Times New Roman" w:cs="Times New Roman"/>
          <w:b/>
          <w:bCs/>
          <w:sz w:val="24"/>
          <w:szCs w:val="28"/>
        </w:rPr>
        <w:t>年</w:t>
      </w:r>
      <w:r>
        <w:rPr>
          <w:rFonts w:ascii="Times New Roman" w:eastAsia="宋体" w:hAnsi="Times New Roman" w:cs="Times New Roman"/>
          <w:b/>
          <w:bCs/>
          <w:sz w:val="24"/>
          <w:szCs w:val="28"/>
        </w:rPr>
        <w:t>1</w:t>
      </w:r>
      <w:r>
        <w:rPr>
          <w:rFonts w:ascii="Times New Roman" w:eastAsia="宋体" w:hAnsi="Times New Roman" w:cs="Times New Roman"/>
          <w:b/>
          <w:bCs/>
          <w:sz w:val="24"/>
          <w:szCs w:val="28"/>
        </w:rPr>
        <w:t>月</w:t>
      </w:r>
      <w:r>
        <w:rPr>
          <w:rFonts w:ascii="Times New Roman" w:eastAsia="宋体" w:hAnsi="Times New Roman" w:cs="Times New Roman" w:hint="eastAsia"/>
          <w:b/>
          <w:bCs/>
          <w:sz w:val="24"/>
          <w:szCs w:val="28"/>
        </w:rPr>
        <w:t>3</w:t>
      </w:r>
      <w:r w:rsidR="005457A8">
        <w:rPr>
          <w:rFonts w:ascii="Times New Roman" w:eastAsia="宋体" w:hAnsi="Times New Roman" w:cs="Times New Roman"/>
          <w:b/>
          <w:bCs/>
          <w:sz w:val="24"/>
          <w:szCs w:val="28"/>
        </w:rPr>
        <w:t>0</w:t>
      </w:r>
      <w:r>
        <w:rPr>
          <w:rFonts w:ascii="Times New Roman" w:eastAsia="宋体" w:hAnsi="Times New Roman" w:cs="Times New Roman"/>
          <w:b/>
          <w:bCs/>
          <w:sz w:val="24"/>
          <w:szCs w:val="28"/>
        </w:rPr>
        <w:t>日</w:t>
      </w:r>
    </w:p>
    <w:sectPr w:rsidR="000111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A2F9D" w14:textId="77777777" w:rsidR="0064195A" w:rsidRDefault="0064195A" w:rsidP="00EE22A1">
      <w:r>
        <w:separator/>
      </w:r>
    </w:p>
  </w:endnote>
  <w:endnote w:type="continuationSeparator" w:id="0">
    <w:p w14:paraId="668F1137" w14:textId="77777777" w:rsidR="0064195A" w:rsidRDefault="0064195A" w:rsidP="00EE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0812" w14:textId="77777777" w:rsidR="0064195A" w:rsidRDefault="0064195A" w:rsidP="00EE22A1">
      <w:r>
        <w:separator/>
      </w:r>
    </w:p>
  </w:footnote>
  <w:footnote w:type="continuationSeparator" w:id="0">
    <w:p w14:paraId="1292E69A" w14:textId="77777777" w:rsidR="0064195A" w:rsidRDefault="0064195A" w:rsidP="00EE2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D2"/>
    <w:rsid w:val="00001BF5"/>
    <w:rsid w:val="0001114A"/>
    <w:rsid w:val="000671AF"/>
    <w:rsid w:val="000D2417"/>
    <w:rsid w:val="000E3F92"/>
    <w:rsid w:val="001313AD"/>
    <w:rsid w:val="00160CF5"/>
    <w:rsid w:val="00164D68"/>
    <w:rsid w:val="001D3A04"/>
    <w:rsid w:val="002143A3"/>
    <w:rsid w:val="0028483E"/>
    <w:rsid w:val="00340BDF"/>
    <w:rsid w:val="003A1272"/>
    <w:rsid w:val="003E328F"/>
    <w:rsid w:val="00462439"/>
    <w:rsid w:val="0048602D"/>
    <w:rsid w:val="005457A8"/>
    <w:rsid w:val="005A2D71"/>
    <w:rsid w:val="006100D2"/>
    <w:rsid w:val="00615651"/>
    <w:rsid w:val="0064195A"/>
    <w:rsid w:val="00710856"/>
    <w:rsid w:val="00735F9A"/>
    <w:rsid w:val="00744423"/>
    <w:rsid w:val="00756E9F"/>
    <w:rsid w:val="007803D6"/>
    <w:rsid w:val="007955EF"/>
    <w:rsid w:val="007B3E1F"/>
    <w:rsid w:val="008247F0"/>
    <w:rsid w:val="00864477"/>
    <w:rsid w:val="0087698F"/>
    <w:rsid w:val="00983AC8"/>
    <w:rsid w:val="00A62913"/>
    <w:rsid w:val="00A87310"/>
    <w:rsid w:val="00AD23C3"/>
    <w:rsid w:val="00AF11D2"/>
    <w:rsid w:val="00C12FEF"/>
    <w:rsid w:val="00C62837"/>
    <w:rsid w:val="00C94F12"/>
    <w:rsid w:val="00CD08B1"/>
    <w:rsid w:val="00D30285"/>
    <w:rsid w:val="00DF1D15"/>
    <w:rsid w:val="00E05BE9"/>
    <w:rsid w:val="00E3419C"/>
    <w:rsid w:val="00EE22A1"/>
    <w:rsid w:val="00F032AE"/>
    <w:rsid w:val="00F34B44"/>
    <w:rsid w:val="0D96121E"/>
    <w:rsid w:val="1E0A49F9"/>
    <w:rsid w:val="266E0A4F"/>
    <w:rsid w:val="3BD05BF2"/>
    <w:rsid w:val="3F065872"/>
    <w:rsid w:val="46661C81"/>
    <w:rsid w:val="51846E3C"/>
    <w:rsid w:val="59DA689A"/>
    <w:rsid w:val="61E21667"/>
    <w:rsid w:val="657E0158"/>
    <w:rsid w:val="69953C3A"/>
    <w:rsid w:val="72B410CD"/>
    <w:rsid w:val="756D2FF8"/>
    <w:rsid w:val="7859737C"/>
    <w:rsid w:val="789C0C31"/>
    <w:rsid w:val="79130CD4"/>
    <w:rsid w:val="7DD67777"/>
    <w:rsid w:val="7E026B5A"/>
    <w:rsid w:val="7EFF0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D4FAA0"/>
  <w14:defaultImageDpi w14:val="32767"/>
  <w15:docId w15:val="{A5D10FA8-9D65-48C9-8EA6-0BFFCEF0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styleId="a9">
    <w:name w:val="List Paragraph"/>
    <w:basedOn w:val="a"/>
    <w:uiPriority w:val="34"/>
    <w:qFormat/>
    <w:pPr>
      <w:ind w:firstLineChars="200" w:firstLine="420"/>
    </w:pPr>
  </w:style>
  <w:style w:type="paragraph" w:customStyle="1" w:styleId="1">
    <w:name w:val="修订1"/>
    <w:hidden/>
    <w:uiPriority w:val="99"/>
    <w:semiHidden/>
    <w:rPr>
      <w:kern w:val="2"/>
      <w:sz w:val="21"/>
      <w:szCs w:val="22"/>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Samuel</dc:creator>
  <cp:lastModifiedBy>mouhaitao 123</cp:lastModifiedBy>
  <cp:revision>3</cp:revision>
  <dcterms:created xsi:type="dcterms:W3CDTF">2023-01-28T02:18:00Z</dcterms:created>
  <dcterms:modified xsi:type="dcterms:W3CDTF">2023-01-28T03:45:00Z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