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5000" w:type="pct"/>
        <w:tblInd w:w="0" w:type="dxa"/>
        <w:tblLayout w:type="autofit"/>
        <w:tblCellMar>
          <w:top w:w="0" w:type="dxa"/>
          <w:left w:w="108" w:type="dxa"/>
          <w:bottom w:w="0" w:type="dxa"/>
          <w:right w:w="108" w:type="dxa"/>
        </w:tblCellMar>
      </w:tblPr>
      <w:tblGrid>
        <w:gridCol w:w="2840"/>
        <w:gridCol w:w="2841"/>
        <w:gridCol w:w="2841"/>
      </w:tblGrid>
      <w:tr>
        <w:tblPrEx>
          <w:tblCellMar>
            <w:top w:w="0" w:type="dxa"/>
            <w:left w:w="108" w:type="dxa"/>
            <w:bottom w:w="0" w:type="dxa"/>
            <w:right w:w="108" w:type="dxa"/>
          </w:tblCellMar>
        </w:tblPrEx>
        <w:tc>
          <w:tcPr>
            <w:tcW w:w="1666" w:type="pct"/>
          </w:tcPr>
          <w:p>
            <w:pPr>
              <w:adjustRightInd w:val="0"/>
              <w:snapToGrid w:val="0"/>
              <w:spacing w:line="440" w:lineRule="exact"/>
              <w:rPr>
                <w:sz w:val="24"/>
              </w:rPr>
            </w:pPr>
            <w:r>
              <w:rPr>
                <w:sz w:val="24"/>
              </w:rPr>
              <w:t>证券代码：000881</w:t>
            </w:r>
          </w:p>
        </w:tc>
        <w:tc>
          <w:tcPr>
            <w:tcW w:w="1667" w:type="pct"/>
          </w:tcPr>
          <w:p>
            <w:pPr>
              <w:adjustRightInd w:val="0"/>
              <w:snapToGrid w:val="0"/>
              <w:spacing w:line="440" w:lineRule="exact"/>
              <w:jc w:val="center"/>
              <w:rPr>
                <w:sz w:val="24"/>
              </w:rPr>
            </w:pPr>
            <w:r>
              <w:rPr>
                <w:sz w:val="24"/>
              </w:rPr>
              <w:t>证券简称：中广核技</w:t>
            </w:r>
          </w:p>
        </w:tc>
        <w:tc>
          <w:tcPr>
            <w:tcW w:w="1667" w:type="pct"/>
          </w:tcPr>
          <w:p>
            <w:pPr>
              <w:adjustRightInd w:val="0"/>
              <w:snapToGrid w:val="0"/>
              <w:spacing w:line="440" w:lineRule="exact"/>
              <w:jc w:val="right"/>
              <w:rPr>
                <w:rFonts w:hint="default" w:eastAsia="宋体"/>
                <w:sz w:val="24"/>
                <w:lang w:val="en-US" w:eastAsia="zh-CN"/>
              </w:rPr>
            </w:pPr>
            <w:r>
              <w:rPr>
                <w:color w:val="auto"/>
                <w:sz w:val="24"/>
              </w:rPr>
              <w:t>公告编号：2023-</w:t>
            </w:r>
            <w:r>
              <w:rPr>
                <w:rFonts w:hint="eastAsia"/>
                <w:color w:val="auto"/>
                <w:sz w:val="24"/>
                <w:lang w:val="en-US" w:eastAsia="zh-CN"/>
              </w:rPr>
              <w:t>073</w:t>
            </w:r>
          </w:p>
        </w:tc>
      </w:tr>
    </w:tbl>
    <w:p>
      <w:pPr>
        <w:snapToGrid w:val="0"/>
        <w:spacing w:before="156" w:beforeLines="50"/>
        <w:jc w:val="center"/>
        <w:rPr>
          <w:b/>
          <w:sz w:val="36"/>
          <w:szCs w:val="36"/>
        </w:rPr>
      </w:pPr>
      <w:r>
        <w:rPr>
          <w:rFonts w:hint="eastAsia"/>
          <w:b/>
          <w:sz w:val="36"/>
          <w:szCs w:val="36"/>
        </w:rPr>
        <w:t>中广核核技术发展股份有限公司</w:t>
      </w:r>
    </w:p>
    <w:p>
      <w:pPr>
        <w:snapToGrid w:val="0"/>
        <w:spacing w:before="156" w:beforeLines="50"/>
        <w:jc w:val="center"/>
        <w:rPr>
          <w:b/>
          <w:sz w:val="36"/>
          <w:szCs w:val="36"/>
        </w:rPr>
      </w:pPr>
      <w:r>
        <w:rPr>
          <w:rFonts w:hint="eastAsia"/>
          <w:b/>
          <w:sz w:val="36"/>
          <w:szCs w:val="36"/>
        </w:rPr>
        <w:t>关于本次交易方案调整构成重大调整的公告</w:t>
      </w:r>
    </w:p>
    <w:p>
      <w:pPr>
        <w:snapToGrid w:val="0"/>
        <w:spacing w:before="312" w:beforeLines="100" w:line="360" w:lineRule="auto"/>
        <w:ind w:firstLine="422" w:firstLineChars="200"/>
        <w:rPr>
          <w:b/>
          <w:szCs w:val="21"/>
        </w:rPr>
      </w:pPr>
      <w:r>
        <w:rPr>
          <w:b/>
          <w:szCs w:val="21"/>
        </w:rPr>
        <w:t>本公司及董事会全体成员保证信息披露的内容真实、准确、完整，没有虚假记载、误导性陈述或者重大遗漏。</w:t>
      </w:r>
    </w:p>
    <w:p>
      <w:pPr>
        <w:spacing w:before="50" w:after="50" w:line="360" w:lineRule="auto"/>
        <w:ind w:firstLine="480" w:firstLineChars="200"/>
        <w:rPr>
          <w:sz w:val="24"/>
          <w:szCs w:val="28"/>
        </w:rPr>
      </w:pPr>
      <w:r>
        <w:rPr>
          <w:sz w:val="24"/>
          <w:szCs w:val="28"/>
        </w:rPr>
        <w:t>2022年6月29日，中广核核技术发展股份有限公司（以下简称“中广核技”</w:t>
      </w:r>
      <w:r>
        <w:rPr>
          <w:rFonts w:hint="eastAsia"/>
          <w:sz w:val="24"/>
          <w:szCs w:val="28"/>
        </w:rPr>
        <w:t>、“上市公司”</w:t>
      </w:r>
      <w:r>
        <w:rPr>
          <w:sz w:val="24"/>
          <w:szCs w:val="28"/>
        </w:rPr>
        <w:t>或“公司”）召开了第九届董事会第二十八次会议，审议通过了《关于&lt;中广核核技术发展股份有限公司发行股份</w:t>
      </w:r>
      <w:r>
        <w:rPr>
          <w:rFonts w:hint="eastAsia"/>
          <w:sz w:val="24"/>
          <w:szCs w:val="28"/>
        </w:rPr>
        <w:t>及支付现金</w:t>
      </w:r>
      <w:r>
        <w:rPr>
          <w:sz w:val="24"/>
          <w:szCs w:val="28"/>
        </w:rPr>
        <w:t>购买资产暨关联交易报告书（草案）&gt;及其摘要的议案》等相关议案。</w:t>
      </w:r>
    </w:p>
    <w:p>
      <w:pPr>
        <w:spacing w:before="50" w:after="50" w:line="360" w:lineRule="auto"/>
        <w:ind w:firstLine="480" w:firstLineChars="200"/>
        <w:rPr>
          <w:sz w:val="24"/>
          <w:szCs w:val="28"/>
        </w:rPr>
      </w:pPr>
      <w:r>
        <w:rPr>
          <w:sz w:val="24"/>
          <w:szCs w:val="28"/>
        </w:rPr>
        <w:t>2023</w:t>
      </w:r>
      <w:r>
        <w:rPr>
          <w:rFonts w:hint="eastAsia"/>
          <w:sz w:val="24"/>
          <w:szCs w:val="28"/>
        </w:rPr>
        <w:t>年8月</w:t>
      </w:r>
      <w:r>
        <w:rPr>
          <w:rFonts w:hint="eastAsia"/>
          <w:sz w:val="24"/>
          <w:szCs w:val="28"/>
          <w:lang w:val="en-US" w:eastAsia="zh-CN"/>
        </w:rPr>
        <w:t>24</w:t>
      </w:r>
      <w:r>
        <w:rPr>
          <w:rFonts w:hint="eastAsia"/>
          <w:sz w:val="24"/>
          <w:szCs w:val="28"/>
        </w:rPr>
        <w:t>日，中广核技召开第十届董事会第</w:t>
      </w:r>
      <w:r>
        <w:rPr>
          <w:rFonts w:hint="eastAsia"/>
          <w:sz w:val="24"/>
          <w:szCs w:val="28"/>
          <w:lang w:val="en-US" w:eastAsia="zh-CN"/>
        </w:rPr>
        <w:t>九</w:t>
      </w:r>
      <w:r>
        <w:rPr>
          <w:rFonts w:hint="eastAsia"/>
          <w:sz w:val="24"/>
          <w:szCs w:val="28"/>
        </w:rPr>
        <w:t>次会议，审议通过了</w:t>
      </w:r>
      <w:r>
        <w:rPr>
          <w:sz w:val="24"/>
          <w:szCs w:val="28"/>
        </w:rPr>
        <w:t>《关于&lt;中广核核技术发展股份有限公司发行股份</w:t>
      </w:r>
      <w:r>
        <w:rPr>
          <w:rFonts w:hint="eastAsia"/>
          <w:sz w:val="24"/>
          <w:szCs w:val="28"/>
        </w:rPr>
        <w:t>及支付现金</w:t>
      </w:r>
      <w:r>
        <w:rPr>
          <w:sz w:val="24"/>
          <w:szCs w:val="28"/>
        </w:rPr>
        <w:t>购买资产</w:t>
      </w:r>
      <w:r>
        <w:rPr>
          <w:rFonts w:hint="eastAsia"/>
          <w:sz w:val="24"/>
          <w:szCs w:val="28"/>
        </w:rPr>
        <w:t>并募集配套资金</w:t>
      </w:r>
      <w:r>
        <w:rPr>
          <w:sz w:val="24"/>
          <w:szCs w:val="28"/>
        </w:rPr>
        <w:t>暨关联交易报告书（草案）&gt;</w:t>
      </w:r>
      <w:r>
        <w:rPr>
          <w:rFonts w:hint="eastAsia"/>
          <w:sz w:val="24"/>
          <w:szCs w:val="28"/>
        </w:rPr>
        <w:t>（修订稿）</w:t>
      </w:r>
      <w:r>
        <w:rPr>
          <w:sz w:val="24"/>
          <w:szCs w:val="28"/>
        </w:rPr>
        <w:t>及其摘要的议案》等相关议案</w:t>
      </w:r>
      <w:r>
        <w:rPr>
          <w:rFonts w:hint="eastAsia"/>
          <w:sz w:val="24"/>
          <w:szCs w:val="28"/>
        </w:rPr>
        <w:t>，对本次交易方案进行了调整。</w:t>
      </w:r>
    </w:p>
    <w:p>
      <w:pPr>
        <w:spacing w:before="50" w:after="50" w:line="360" w:lineRule="auto"/>
        <w:ind w:firstLine="482" w:firstLineChars="200"/>
        <w:rPr>
          <w:b/>
          <w:bCs/>
          <w:sz w:val="32"/>
          <w:szCs w:val="32"/>
        </w:rPr>
      </w:pPr>
      <w:r>
        <w:rPr>
          <w:b/>
          <w:bCs/>
          <w:sz w:val="24"/>
          <w:szCs w:val="32"/>
        </w:rPr>
        <w:t>一、本次</w:t>
      </w:r>
      <w:r>
        <w:rPr>
          <w:rFonts w:hint="eastAsia"/>
          <w:b/>
          <w:bCs/>
          <w:sz w:val="24"/>
          <w:szCs w:val="32"/>
        </w:rPr>
        <w:t>交易</w:t>
      </w:r>
      <w:r>
        <w:rPr>
          <w:b/>
          <w:bCs/>
          <w:sz w:val="24"/>
          <w:szCs w:val="32"/>
        </w:rPr>
        <w:t>方案调整</w:t>
      </w:r>
      <w:r>
        <w:rPr>
          <w:rFonts w:hint="eastAsia"/>
          <w:b/>
          <w:bCs/>
          <w:sz w:val="24"/>
          <w:szCs w:val="32"/>
        </w:rPr>
        <w:t>的具体</w:t>
      </w:r>
      <w:r>
        <w:rPr>
          <w:b/>
          <w:bCs/>
          <w:sz w:val="24"/>
          <w:szCs w:val="32"/>
        </w:rPr>
        <w:t>情况</w:t>
      </w:r>
    </w:p>
    <w:p>
      <w:pPr>
        <w:spacing w:before="50" w:after="50" w:line="360" w:lineRule="auto"/>
        <w:ind w:firstLine="480" w:firstLineChars="200"/>
        <w:rPr>
          <w:sz w:val="24"/>
          <w:szCs w:val="28"/>
        </w:rPr>
      </w:pPr>
      <w:r>
        <w:rPr>
          <w:rFonts w:hint="eastAsia"/>
          <w:sz w:val="24"/>
          <w:szCs w:val="28"/>
        </w:rPr>
        <w:t>本次发行股份及支付现金购买资产方案，与前次方案相比，主要对以下内容进行了调整：</w:t>
      </w:r>
    </w:p>
    <w:p>
      <w:pPr>
        <w:spacing w:before="50" w:after="50" w:line="360" w:lineRule="auto"/>
        <w:ind w:firstLine="480" w:firstLineChars="200"/>
        <w:rPr>
          <w:sz w:val="24"/>
          <w:szCs w:val="28"/>
        </w:rPr>
      </w:pPr>
      <w:r>
        <w:rPr>
          <w:rFonts w:hint="eastAsia"/>
          <w:sz w:val="24"/>
          <w:szCs w:val="28"/>
        </w:rPr>
        <w:t>（一）中广核久源（成都）科技有限公司（以下简称“成都久源”）持有的</w:t>
      </w:r>
      <w:r>
        <w:rPr>
          <w:rFonts w:hint="eastAsia"/>
          <w:color w:val="000000" w:themeColor="text1"/>
          <w:sz w:val="24"/>
          <w14:textFill>
            <w14:solidFill>
              <w14:schemeClr w14:val="tx1"/>
            </w14:solidFill>
          </w14:textFill>
        </w:rPr>
        <w:t>中广核贝谷科技有限公司（以下简称“贝谷科技”）</w:t>
      </w:r>
      <w:r>
        <w:rPr>
          <w:rFonts w:hint="eastAsia"/>
          <w:sz w:val="24"/>
          <w:szCs w:val="28"/>
        </w:rPr>
        <w:t>2</w:t>
      </w:r>
      <w:r>
        <w:rPr>
          <w:sz w:val="24"/>
          <w:szCs w:val="28"/>
        </w:rPr>
        <w:t>1%</w:t>
      </w:r>
      <w:r>
        <w:rPr>
          <w:rFonts w:hint="eastAsia"/>
          <w:sz w:val="24"/>
          <w:szCs w:val="28"/>
        </w:rPr>
        <w:t>股权不再纳入本次交易标的资产范围；</w:t>
      </w:r>
    </w:p>
    <w:p>
      <w:pPr>
        <w:spacing w:before="50" w:after="50" w:line="360" w:lineRule="auto"/>
        <w:ind w:firstLine="480" w:firstLineChars="200"/>
        <w:rPr>
          <w:sz w:val="24"/>
          <w:szCs w:val="28"/>
        </w:rPr>
      </w:pPr>
      <w:r>
        <w:rPr>
          <w:rFonts w:hint="eastAsia"/>
          <w:sz w:val="24"/>
          <w:szCs w:val="28"/>
        </w:rPr>
        <w:t>（二）与交易对方</w:t>
      </w:r>
      <w:r>
        <w:rPr>
          <w:rFonts w:hint="eastAsia"/>
          <w:color w:val="000000" w:themeColor="text1"/>
          <w:sz w:val="24"/>
          <w14:textFill>
            <w14:solidFill>
              <w14:schemeClr w14:val="tx1"/>
            </w14:solidFill>
          </w14:textFill>
        </w:rPr>
        <w:t>中广核核技术应用有限公司（以下简称“核技术公司”）</w:t>
      </w:r>
      <w:r>
        <w:rPr>
          <w:rFonts w:hint="eastAsia"/>
          <w:sz w:val="24"/>
          <w:szCs w:val="28"/>
        </w:rPr>
        <w:t>及</w:t>
      </w:r>
      <w:r>
        <w:rPr>
          <w:rFonts w:hint="eastAsia"/>
          <w:color w:val="000000" w:themeColor="text1"/>
          <w:sz w:val="24"/>
          <w14:textFill>
            <w14:solidFill>
              <w14:schemeClr w14:val="tx1"/>
            </w14:solidFill>
          </w14:textFill>
        </w:rPr>
        <w:t>吉安市云科通科技合伙企业（有限合伙）（以下简称“云科通”）</w:t>
      </w:r>
      <w:r>
        <w:rPr>
          <w:rFonts w:hint="eastAsia"/>
          <w:sz w:val="24"/>
          <w:szCs w:val="28"/>
        </w:rPr>
        <w:t>交易对价的支付方式统一为发行股份及支付现金；</w:t>
      </w:r>
    </w:p>
    <w:p>
      <w:pPr>
        <w:spacing w:before="50" w:after="50" w:line="360" w:lineRule="auto"/>
        <w:ind w:firstLine="480" w:firstLineChars="200"/>
        <w:rPr>
          <w:sz w:val="24"/>
          <w:szCs w:val="28"/>
          <w:highlight w:val="none"/>
        </w:rPr>
      </w:pPr>
      <w:r>
        <w:rPr>
          <w:rFonts w:hint="eastAsia"/>
          <w:sz w:val="24"/>
          <w:szCs w:val="28"/>
          <w:highlight w:val="none"/>
        </w:rPr>
        <w:t>（三）发行股份购买资产定价原则调整为不低于定价基准日前2</w:t>
      </w:r>
      <w:r>
        <w:rPr>
          <w:sz w:val="24"/>
          <w:szCs w:val="28"/>
          <w:highlight w:val="none"/>
        </w:rPr>
        <w:t>0</w:t>
      </w:r>
      <w:r>
        <w:rPr>
          <w:rFonts w:hint="eastAsia"/>
          <w:sz w:val="24"/>
          <w:szCs w:val="28"/>
          <w:highlight w:val="none"/>
        </w:rPr>
        <w:t>个交易日中广核技股票交易均价的80%，且不低于上市公司最近一期经审计的每股净资产；</w:t>
      </w:r>
    </w:p>
    <w:p>
      <w:pPr>
        <w:spacing w:before="50" w:after="50" w:line="360" w:lineRule="auto"/>
        <w:ind w:firstLine="480" w:firstLineChars="200"/>
        <w:rPr>
          <w:sz w:val="24"/>
          <w:szCs w:val="28"/>
        </w:rPr>
      </w:pPr>
      <w:r>
        <w:rPr>
          <w:rFonts w:hint="eastAsia"/>
          <w:sz w:val="24"/>
          <w:szCs w:val="28"/>
        </w:rPr>
        <w:t>（四）上市公司拟向核技术公司发行股份募集配套资金，募集配套资金金额不超过3</w:t>
      </w:r>
      <w:r>
        <w:rPr>
          <w:sz w:val="24"/>
          <w:szCs w:val="28"/>
        </w:rPr>
        <w:t>0</w:t>
      </w:r>
      <w:r>
        <w:rPr>
          <w:rFonts w:hint="eastAsia"/>
          <w:sz w:val="24"/>
          <w:szCs w:val="28"/>
        </w:rPr>
        <w:t>,</w:t>
      </w:r>
      <w:r>
        <w:rPr>
          <w:sz w:val="24"/>
          <w:szCs w:val="28"/>
        </w:rPr>
        <w:t>000.00</w:t>
      </w:r>
      <w:r>
        <w:rPr>
          <w:rFonts w:hint="eastAsia"/>
          <w:sz w:val="24"/>
          <w:szCs w:val="28"/>
        </w:rPr>
        <w:t>万元，</w:t>
      </w:r>
      <w:r>
        <w:rPr>
          <w:sz w:val="24"/>
          <w:szCs w:val="28"/>
        </w:rPr>
        <w:t>不超过本次交易中上市公司发行股份购买资产交易金额的100%，且发行数量不超过本次交易前上市公司总股本的30%。</w:t>
      </w:r>
    </w:p>
    <w:p>
      <w:pPr>
        <w:spacing w:before="50" w:after="50" w:line="360" w:lineRule="auto"/>
        <w:ind w:firstLine="480" w:firstLineChars="200"/>
        <w:rPr>
          <w:sz w:val="24"/>
          <w:szCs w:val="28"/>
        </w:rPr>
      </w:pPr>
      <w:r>
        <w:rPr>
          <w:sz w:val="24"/>
          <w:szCs w:val="28"/>
        </w:rPr>
        <w:t>本次</w:t>
      </w:r>
      <w:r>
        <w:rPr>
          <w:rFonts w:hint="eastAsia"/>
          <w:sz w:val="24"/>
          <w:szCs w:val="28"/>
        </w:rPr>
        <w:t>重组</w:t>
      </w:r>
      <w:r>
        <w:rPr>
          <w:sz w:val="24"/>
          <w:szCs w:val="28"/>
        </w:rPr>
        <w:t>方案调整情况对比如下：</w:t>
      </w:r>
    </w:p>
    <w:tbl>
      <w:tblPr>
        <w:tblStyle w:val="10"/>
        <w:tblW w:w="52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3559"/>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86" w:type="pct"/>
            <w:shd w:val="clear" w:color="auto" w:fill="D7D7D7" w:themeFill="background1" w:themeFillShade="D8"/>
            <w:noWrap w:val="0"/>
            <w:vAlign w:val="center"/>
          </w:tcPr>
          <w:p>
            <w:pPr>
              <w:widowControl/>
              <w:jc w:val="center"/>
              <w:rPr>
                <w:b/>
                <w:bCs/>
                <w:szCs w:val="28"/>
                <w:lang w:bidi="ar"/>
              </w:rPr>
            </w:pPr>
            <w:r>
              <w:rPr>
                <w:b/>
                <w:bCs/>
                <w:szCs w:val="28"/>
                <w:lang w:bidi="ar"/>
              </w:rPr>
              <w:t>调整内容</w:t>
            </w:r>
          </w:p>
        </w:tc>
        <w:tc>
          <w:tcPr>
            <w:tcW w:w="1990" w:type="pct"/>
            <w:shd w:val="clear" w:color="auto" w:fill="D7D7D7" w:themeFill="background1" w:themeFillShade="D8"/>
            <w:noWrap w:val="0"/>
            <w:vAlign w:val="center"/>
          </w:tcPr>
          <w:p>
            <w:pPr>
              <w:widowControl/>
              <w:jc w:val="center"/>
              <w:rPr>
                <w:b/>
                <w:bCs/>
                <w:szCs w:val="28"/>
              </w:rPr>
            </w:pPr>
            <w:r>
              <w:rPr>
                <w:b/>
                <w:bCs/>
                <w:szCs w:val="28"/>
                <w:lang w:bidi="ar"/>
              </w:rPr>
              <w:t>调整前</w:t>
            </w:r>
          </w:p>
        </w:tc>
        <w:tc>
          <w:tcPr>
            <w:tcW w:w="1823" w:type="pct"/>
            <w:shd w:val="clear" w:color="auto" w:fill="D7D7D7" w:themeFill="background1" w:themeFillShade="D8"/>
            <w:noWrap w:val="0"/>
            <w:vAlign w:val="center"/>
          </w:tcPr>
          <w:p>
            <w:pPr>
              <w:widowControl/>
              <w:jc w:val="center"/>
              <w:rPr>
                <w:b/>
                <w:bCs/>
                <w:szCs w:val="28"/>
                <w:lang w:bidi="ar"/>
              </w:rPr>
            </w:pPr>
            <w:r>
              <w:rPr>
                <w:b/>
                <w:bCs/>
                <w:szCs w:val="28"/>
                <w:lang w:bidi="ar"/>
              </w:rPr>
              <w:t>调整后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86" w:type="pct"/>
            <w:noWrap w:val="0"/>
            <w:vAlign w:val="center"/>
          </w:tcPr>
          <w:p>
            <w:pPr>
              <w:widowControl/>
              <w:jc w:val="center"/>
              <w:rPr>
                <w:b/>
                <w:bCs/>
                <w:szCs w:val="28"/>
                <w:lang w:bidi="ar"/>
              </w:rPr>
            </w:pPr>
            <w:r>
              <w:rPr>
                <w:b/>
                <w:bCs/>
                <w:szCs w:val="28"/>
                <w:lang w:bidi="ar"/>
              </w:rPr>
              <w:t>标的资产</w:t>
            </w:r>
          </w:p>
        </w:tc>
        <w:tc>
          <w:tcPr>
            <w:tcW w:w="1990" w:type="pct"/>
            <w:noWrap w:val="0"/>
            <w:vAlign w:val="center"/>
          </w:tcPr>
          <w:p>
            <w:pPr>
              <w:widowControl/>
              <w:jc w:val="center"/>
              <w:rPr>
                <w:szCs w:val="28"/>
                <w:lang w:bidi="ar"/>
              </w:rPr>
            </w:pPr>
            <w:r>
              <w:rPr>
                <w:szCs w:val="28"/>
                <w:lang w:bidi="ar"/>
              </w:rPr>
              <w:t>贝谷科技100%股权</w:t>
            </w:r>
          </w:p>
        </w:tc>
        <w:tc>
          <w:tcPr>
            <w:tcW w:w="1823" w:type="pct"/>
            <w:noWrap w:val="0"/>
            <w:vAlign w:val="center"/>
          </w:tcPr>
          <w:p>
            <w:pPr>
              <w:widowControl/>
              <w:jc w:val="center"/>
              <w:rPr>
                <w:szCs w:val="28"/>
                <w:lang w:bidi="ar"/>
              </w:rPr>
            </w:pPr>
            <w:r>
              <w:rPr>
                <w:szCs w:val="28"/>
                <w:lang w:bidi="ar"/>
              </w:rPr>
              <w:t>贝谷科技79%股权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pct"/>
            <w:noWrap w:val="0"/>
            <w:vAlign w:val="center"/>
          </w:tcPr>
          <w:p>
            <w:pPr>
              <w:widowControl/>
              <w:jc w:val="center"/>
              <w:rPr>
                <w:b/>
                <w:bCs/>
                <w:szCs w:val="28"/>
                <w:lang w:bidi="ar"/>
              </w:rPr>
            </w:pPr>
            <w:r>
              <w:rPr>
                <w:b/>
                <w:bCs/>
                <w:szCs w:val="28"/>
                <w:lang w:bidi="ar"/>
              </w:rPr>
              <w:t>定价基准日</w:t>
            </w:r>
          </w:p>
        </w:tc>
        <w:tc>
          <w:tcPr>
            <w:tcW w:w="1990" w:type="pct"/>
            <w:noWrap w:val="0"/>
            <w:vAlign w:val="center"/>
          </w:tcPr>
          <w:p>
            <w:pPr>
              <w:widowControl/>
              <w:jc w:val="center"/>
              <w:rPr>
                <w:szCs w:val="28"/>
                <w:lang w:bidi="ar"/>
              </w:rPr>
            </w:pPr>
            <w:r>
              <w:rPr>
                <w:szCs w:val="28"/>
                <w:lang w:bidi="ar"/>
              </w:rPr>
              <w:t>第</w:t>
            </w:r>
            <w:r>
              <w:rPr>
                <w:rFonts w:hint="eastAsia"/>
                <w:szCs w:val="28"/>
                <w:lang w:val="en-US" w:eastAsia="zh-CN" w:bidi="ar"/>
              </w:rPr>
              <w:t>九</w:t>
            </w:r>
            <w:r>
              <w:rPr>
                <w:szCs w:val="28"/>
                <w:lang w:bidi="ar"/>
              </w:rPr>
              <w:t>届董事会第</w:t>
            </w:r>
            <w:r>
              <w:rPr>
                <w:rFonts w:hint="eastAsia"/>
                <w:szCs w:val="28"/>
                <w:lang w:val="en-US" w:eastAsia="zh-CN" w:bidi="ar"/>
              </w:rPr>
              <w:t>二</w:t>
            </w:r>
            <w:r>
              <w:rPr>
                <w:szCs w:val="28"/>
                <w:lang w:bidi="ar"/>
              </w:rPr>
              <w:t>十八次会议决议公告日</w:t>
            </w:r>
          </w:p>
        </w:tc>
        <w:tc>
          <w:tcPr>
            <w:tcW w:w="1823" w:type="pct"/>
            <w:noWrap w:val="0"/>
            <w:vAlign w:val="center"/>
          </w:tcPr>
          <w:p>
            <w:pPr>
              <w:widowControl/>
              <w:jc w:val="center"/>
              <w:rPr>
                <w:szCs w:val="28"/>
                <w:lang w:bidi="ar"/>
              </w:rPr>
            </w:pPr>
            <w:r>
              <w:rPr>
                <w:szCs w:val="28"/>
                <w:lang w:bidi="ar"/>
              </w:rPr>
              <w:t>第十届董事会第</w:t>
            </w:r>
            <w:r>
              <w:rPr>
                <w:rFonts w:hint="eastAsia"/>
                <w:szCs w:val="28"/>
                <w:lang w:bidi="ar"/>
              </w:rPr>
              <w:t>九</w:t>
            </w:r>
            <w:r>
              <w:rPr>
                <w:szCs w:val="28"/>
                <w:lang w:bidi="ar"/>
              </w:rPr>
              <w:t>次会议决议公告日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pct"/>
            <w:noWrap w:val="0"/>
            <w:vAlign w:val="center"/>
          </w:tcPr>
          <w:p>
            <w:pPr>
              <w:widowControl/>
              <w:jc w:val="center"/>
              <w:rPr>
                <w:b/>
                <w:bCs/>
                <w:szCs w:val="28"/>
                <w:lang w:bidi="ar"/>
              </w:rPr>
            </w:pPr>
            <w:r>
              <w:rPr>
                <w:b/>
                <w:bCs/>
                <w:szCs w:val="28"/>
                <w:lang w:bidi="ar"/>
              </w:rPr>
              <w:t>定价原则</w:t>
            </w:r>
          </w:p>
        </w:tc>
        <w:tc>
          <w:tcPr>
            <w:tcW w:w="1990" w:type="pct"/>
            <w:noWrap w:val="0"/>
            <w:vAlign w:val="center"/>
          </w:tcPr>
          <w:p>
            <w:pPr>
              <w:widowControl/>
              <w:jc w:val="center"/>
              <w:rPr>
                <w:szCs w:val="28"/>
                <w:lang w:bidi="ar"/>
              </w:rPr>
            </w:pPr>
            <w:r>
              <w:rPr>
                <w:szCs w:val="28"/>
                <w:lang w:bidi="ar"/>
              </w:rPr>
              <w:t>不低于定价基准日前20个交易日中广核技股票交易均价的90%</w:t>
            </w:r>
          </w:p>
        </w:tc>
        <w:tc>
          <w:tcPr>
            <w:tcW w:w="1823" w:type="pct"/>
            <w:noWrap w:val="0"/>
            <w:vAlign w:val="center"/>
          </w:tcPr>
          <w:p>
            <w:pPr>
              <w:widowControl/>
              <w:jc w:val="center"/>
              <w:rPr>
                <w:szCs w:val="28"/>
                <w:lang w:bidi="ar"/>
              </w:rPr>
            </w:pPr>
            <w:r>
              <w:rPr>
                <w:szCs w:val="28"/>
                <w:lang w:bidi="ar"/>
              </w:rPr>
              <w:t>不低于定价基准日前</w:t>
            </w:r>
            <w:r>
              <w:rPr>
                <w:rFonts w:hint="eastAsia"/>
                <w:szCs w:val="28"/>
                <w:lang w:bidi="ar"/>
              </w:rPr>
              <w:t>2</w:t>
            </w:r>
            <w:r>
              <w:rPr>
                <w:szCs w:val="28"/>
                <w:lang w:bidi="ar"/>
              </w:rPr>
              <w:t>0个交易日中广核技股票交易均价的80%，且不低于中广核技最近一期经审计的每股净资产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pct"/>
            <w:noWrap w:val="0"/>
            <w:vAlign w:val="center"/>
          </w:tcPr>
          <w:p>
            <w:pPr>
              <w:widowControl/>
              <w:jc w:val="center"/>
              <w:rPr>
                <w:b/>
                <w:bCs/>
                <w:szCs w:val="28"/>
                <w:lang w:bidi="ar"/>
              </w:rPr>
            </w:pPr>
            <w:r>
              <w:rPr>
                <w:b/>
                <w:bCs/>
                <w:szCs w:val="28"/>
                <w:lang w:bidi="ar"/>
              </w:rPr>
              <w:t>发行价格</w:t>
            </w:r>
          </w:p>
        </w:tc>
        <w:tc>
          <w:tcPr>
            <w:tcW w:w="1990" w:type="pct"/>
            <w:noWrap w:val="0"/>
            <w:vAlign w:val="center"/>
          </w:tcPr>
          <w:p>
            <w:pPr>
              <w:widowControl/>
              <w:jc w:val="center"/>
              <w:rPr>
                <w:szCs w:val="28"/>
                <w:lang w:bidi="ar"/>
              </w:rPr>
            </w:pPr>
            <w:r>
              <w:rPr>
                <w:szCs w:val="28"/>
                <w:lang w:bidi="ar"/>
              </w:rPr>
              <w:t>7.8</w:t>
            </w:r>
            <w:r>
              <w:rPr>
                <w:rFonts w:hint="eastAsia"/>
                <w:szCs w:val="28"/>
                <w:lang w:val="en-US" w:eastAsia="zh-CN" w:bidi="ar"/>
              </w:rPr>
              <w:t>3</w:t>
            </w:r>
            <w:r>
              <w:rPr>
                <w:szCs w:val="28"/>
                <w:lang w:bidi="ar"/>
              </w:rPr>
              <w:t>元/股</w:t>
            </w:r>
          </w:p>
        </w:tc>
        <w:tc>
          <w:tcPr>
            <w:tcW w:w="1823" w:type="pct"/>
            <w:noWrap w:val="0"/>
            <w:vAlign w:val="center"/>
          </w:tcPr>
          <w:p>
            <w:pPr>
              <w:widowControl/>
              <w:jc w:val="center"/>
              <w:rPr>
                <w:szCs w:val="28"/>
                <w:lang w:bidi="ar"/>
              </w:rPr>
            </w:pPr>
            <w:r>
              <w:rPr>
                <w:szCs w:val="28"/>
                <w:lang w:bidi="ar"/>
              </w:rPr>
              <w:t>6.69元/股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pct"/>
            <w:noWrap w:val="0"/>
            <w:vAlign w:val="center"/>
          </w:tcPr>
          <w:p>
            <w:pPr>
              <w:widowControl/>
              <w:jc w:val="center"/>
              <w:rPr>
                <w:b/>
                <w:bCs/>
                <w:szCs w:val="28"/>
                <w:lang w:bidi="ar"/>
              </w:rPr>
            </w:pPr>
            <w:r>
              <w:rPr>
                <w:b/>
                <w:bCs/>
                <w:szCs w:val="28"/>
                <w:lang w:bidi="ar"/>
              </w:rPr>
              <w:t>对价支付方式</w:t>
            </w:r>
          </w:p>
        </w:tc>
        <w:tc>
          <w:tcPr>
            <w:tcW w:w="1990" w:type="pct"/>
            <w:noWrap w:val="0"/>
            <w:vAlign w:val="center"/>
          </w:tcPr>
          <w:p>
            <w:pPr>
              <w:widowControl/>
              <w:jc w:val="center"/>
              <w:rPr>
                <w:szCs w:val="28"/>
                <w:lang w:bidi="ar"/>
              </w:rPr>
            </w:pPr>
            <w:r>
              <w:rPr>
                <w:szCs w:val="28"/>
              </w:rPr>
              <w:t>以发行股份的方式向核技术公司购买贝谷科技30%股权，通过发行股份及支付现金方式向云科通购买贝谷科技49%股权（50%股份和50%现金）；通过支付现金方式向成都久源购买贝谷科技21%股权</w:t>
            </w:r>
          </w:p>
        </w:tc>
        <w:tc>
          <w:tcPr>
            <w:tcW w:w="1823" w:type="pct"/>
            <w:noWrap w:val="0"/>
            <w:vAlign w:val="center"/>
          </w:tcPr>
          <w:p>
            <w:pPr>
              <w:widowControl/>
              <w:jc w:val="center"/>
              <w:rPr>
                <w:szCs w:val="28"/>
                <w:lang w:bidi="ar"/>
              </w:rPr>
            </w:pPr>
            <w:r>
              <w:rPr>
                <w:szCs w:val="28"/>
              </w:rPr>
              <w:t>以发行股份及支付现金的方式向核技术公司购买贝谷科技30%股权，并通过发行股份及支付现金方式向云科通购买贝谷科技49%股权（均为70%股份和30%现金）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pct"/>
            <w:noWrap w:val="0"/>
            <w:vAlign w:val="center"/>
          </w:tcPr>
          <w:p>
            <w:pPr>
              <w:widowControl/>
              <w:jc w:val="center"/>
              <w:rPr>
                <w:b/>
                <w:bCs/>
                <w:szCs w:val="28"/>
                <w:lang w:bidi="ar"/>
              </w:rPr>
            </w:pPr>
            <w:r>
              <w:rPr>
                <w:b/>
                <w:bCs/>
                <w:szCs w:val="28"/>
                <w:lang w:bidi="ar"/>
              </w:rPr>
              <w:t>募集资金认购方</w:t>
            </w:r>
          </w:p>
        </w:tc>
        <w:tc>
          <w:tcPr>
            <w:tcW w:w="1990" w:type="pct"/>
            <w:noWrap w:val="0"/>
            <w:vAlign w:val="center"/>
          </w:tcPr>
          <w:p>
            <w:pPr>
              <w:widowControl/>
              <w:jc w:val="center"/>
              <w:rPr>
                <w:szCs w:val="28"/>
                <w:lang w:bidi="ar"/>
              </w:rPr>
            </w:pPr>
            <w:r>
              <w:rPr>
                <w:szCs w:val="28"/>
                <w:lang w:bidi="ar"/>
              </w:rPr>
              <w:t>无</w:t>
            </w:r>
          </w:p>
        </w:tc>
        <w:tc>
          <w:tcPr>
            <w:tcW w:w="1823" w:type="pct"/>
            <w:noWrap w:val="0"/>
            <w:vAlign w:val="center"/>
          </w:tcPr>
          <w:p>
            <w:pPr>
              <w:widowControl/>
              <w:jc w:val="center"/>
              <w:rPr>
                <w:szCs w:val="28"/>
                <w:lang w:bidi="ar"/>
              </w:rPr>
            </w:pPr>
            <w:r>
              <w:rPr>
                <w:szCs w:val="28"/>
              </w:rPr>
              <w:t>核技术公司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pct"/>
            <w:noWrap w:val="0"/>
            <w:vAlign w:val="center"/>
          </w:tcPr>
          <w:p>
            <w:pPr>
              <w:widowControl/>
              <w:jc w:val="center"/>
              <w:rPr>
                <w:b/>
                <w:bCs/>
                <w:szCs w:val="28"/>
                <w:lang w:bidi="ar"/>
              </w:rPr>
            </w:pPr>
            <w:r>
              <w:rPr>
                <w:b/>
                <w:bCs/>
                <w:szCs w:val="28"/>
                <w:lang w:bidi="ar"/>
              </w:rPr>
              <w:t>募集资金用途</w:t>
            </w:r>
          </w:p>
        </w:tc>
        <w:tc>
          <w:tcPr>
            <w:tcW w:w="1990" w:type="pct"/>
            <w:noWrap w:val="0"/>
            <w:vAlign w:val="center"/>
          </w:tcPr>
          <w:p>
            <w:pPr>
              <w:widowControl/>
              <w:jc w:val="center"/>
              <w:rPr>
                <w:szCs w:val="28"/>
                <w:lang w:bidi="ar"/>
              </w:rPr>
            </w:pPr>
            <w:r>
              <w:rPr>
                <w:szCs w:val="28"/>
                <w:lang w:bidi="ar"/>
              </w:rPr>
              <w:t>无</w:t>
            </w:r>
          </w:p>
        </w:tc>
        <w:tc>
          <w:tcPr>
            <w:tcW w:w="1823" w:type="pct"/>
            <w:noWrap w:val="0"/>
            <w:vAlign w:val="center"/>
          </w:tcPr>
          <w:p>
            <w:pPr>
              <w:widowControl/>
              <w:jc w:val="center"/>
              <w:rPr>
                <w:szCs w:val="28"/>
                <w:lang w:bidi="ar"/>
              </w:rPr>
            </w:pPr>
            <w:r>
              <w:rPr>
                <w:szCs w:val="28"/>
              </w:rPr>
              <w:t>用于支付本次交易的现金对价、支付交易税费与中介费用、补充流动资金和/或偿还有息债务等</w:t>
            </w:r>
            <w:bookmarkStart w:id="0" w:name="_GoBack"/>
            <w:bookmarkEnd w:id="0"/>
          </w:p>
        </w:tc>
      </w:tr>
    </w:tbl>
    <w:p>
      <w:pPr>
        <w:spacing w:before="50" w:after="50" w:line="360" w:lineRule="auto"/>
        <w:ind w:firstLine="482" w:firstLineChars="200"/>
        <w:rPr>
          <w:b/>
          <w:bCs/>
          <w:sz w:val="32"/>
          <w:szCs w:val="32"/>
        </w:rPr>
      </w:pPr>
      <w:r>
        <w:rPr>
          <w:rFonts w:hint="eastAsia"/>
          <w:b/>
          <w:bCs/>
          <w:sz w:val="24"/>
          <w:szCs w:val="32"/>
        </w:rPr>
        <w:t>二</w:t>
      </w:r>
      <w:r>
        <w:rPr>
          <w:b/>
          <w:bCs/>
          <w:sz w:val="24"/>
          <w:szCs w:val="32"/>
        </w:rPr>
        <w:t>、</w:t>
      </w:r>
      <w:r>
        <w:rPr>
          <w:rFonts w:hint="eastAsia"/>
          <w:b/>
          <w:bCs/>
          <w:sz w:val="24"/>
          <w:szCs w:val="32"/>
        </w:rPr>
        <w:t>本次交易方案调整构成重组方案重大调整</w:t>
      </w:r>
    </w:p>
    <w:p>
      <w:pPr>
        <w:spacing w:before="50" w:after="50" w:line="360" w:lineRule="auto"/>
        <w:ind w:firstLine="480" w:firstLineChars="200"/>
        <w:rPr>
          <w:sz w:val="24"/>
        </w:rPr>
      </w:pPr>
      <w:r>
        <w:rPr>
          <w:rFonts w:hint="eastAsia"/>
          <w:sz w:val="24"/>
        </w:rPr>
        <w:t>（一）重组方案构成重大调整的认定标准</w:t>
      </w:r>
    </w:p>
    <w:p>
      <w:pPr>
        <w:spacing w:before="50" w:after="50" w:line="360" w:lineRule="auto"/>
        <w:ind w:firstLine="480" w:firstLineChars="200"/>
        <w:rPr>
          <w:sz w:val="24"/>
        </w:rPr>
      </w:pPr>
      <w:r>
        <w:rPr>
          <w:rFonts w:hint="eastAsia"/>
          <w:sz w:val="24"/>
        </w:rPr>
        <w:t>根据</w:t>
      </w:r>
      <w:r>
        <w:rPr>
          <w:rFonts w:hint="eastAsia" w:ascii="宋体" w:hAnsi="宋体" w:cs="宋体"/>
          <w:sz w:val="24"/>
          <w:szCs w:val="20"/>
        </w:rPr>
        <w:t>中国证券监督管理委员会</w:t>
      </w:r>
      <w:r>
        <w:rPr>
          <w:rFonts w:hint="eastAsia"/>
          <w:sz w:val="24"/>
        </w:rPr>
        <w:t>于2023年2月17日发布的《&lt;上市公司重大资产重组管理办法&gt;第二十九条、第四十五条的适用意见——证券期货法律适用意见第15号》的规定，以下情况视为构成对重组方案重大调整：</w:t>
      </w:r>
    </w:p>
    <w:p>
      <w:pPr>
        <w:spacing w:before="50" w:after="50" w:line="360" w:lineRule="auto"/>
        <w:ind w:firstLine="480" w:firstLineChars="200"/>
        <w:rPr>
          <w:sz w:val="24"/>
        </w:rPr>
      </w:pPr>
      <w:r>
        <w:rPr>
          <w:rFonts w:hint="eastAsia"/>
          <w:sz w:val="24"/>
        </w:rPr>
        <w:t>1、关于交易对象的调整</w:t>
      </w:r>
    </w:p>
    <w:p>
      <w:pPr>
        <w:spacing w:before="50" w:after="50" w:line="360" w:lineRule="auto"/>
        <w:ind w:firstLine="480" w:firstLineChars="200"/>
        <w:rPr>
          <w:sz w:val="24"/>
        </w:rPr>
      </w:pPr>
      <w:r>
        <w:rPr>
          <w:rFonts w:hint="eastAsia"/>
          <w:sz w:val="24"/>
        </w:rPr>
        <w:t>拟对交易对象进行变更的，原则上视为构成对重组方案重大调整，但是有以下两种情况的，可以视为不构成对重组方案重大调整：①拟减少交易对象的，如交易各方同意将该交易对象及其持有的标的资产份额剔除出重组方案，且剔除相关标的资产后按照下述有关交易标的变更的规定不构成对重组方案重大调整的；②拟调整交易对象所持标的资产份额的，如交易各方同意交易对象之间转让标的资产份额，且转让份额不超过交易作价20%的。</w:t>
      </w:r>
    </w:p>
    <w:p>
      <w:pPr>
        <w:spacing w:before="50" w:after="50" w:line="360" w:lineRule="auto"/>
        <w:ind w:firstLine="480" w:firstLineChars="200"/>
        <w:rPr>
          <w:sz w:val="24"/>
        </w:rPr>
      </w:pPr>
      <w:r>
        <w:rPr>
          <w:rFonts w:hint="eastAsia"/>
          <w:sz w:val="24"/>
        </w:rPr>
        <w:t>2、关于标的资产的调整</w:t>
      </w:r>
    </w:p>
    <w:p>
      <w:pPr>
        <w:spacing w:before="50" w:after="50" w:line="360" w:lineRule="auto"/>
        <w:ind w:firstLine="480" w:firstLineChars="200"/>
        <w:rPr>
          <w:sz w:val="24"/>
        </w:rPr>
      </w:pPr>
      <w:r>
        <w:rPr>
          <w:rFonts w:hint="eastAsia"/>
          <w:sz w:val="24"/>
        </w:rPr>
        <w:t>拟对标的资产进行变更的，原则上视为构成对重组方案重大调整，但是同时满足以下条件的，可以视为不构成对重组方案重大调整：①拟增加或减少的交易标的的交易作价、资产总额、资产净额及营业收入占原标的资产相应指标总量的比例均不超过20%；②变更标的资产对交易标的的生产经营不构成实质性影响，包括不影响标的资产及业务完整性等。</w:t>
      </w:r>
    </w:p>
    <w:p>
      <w:pPr>
        <w:spacing w:before="50" w:after="50" w:line="360" w:lineRule="auto"/>
        <w:ind w:firstLine="480" w:firstLineChars="200"/>
        <w:rPr>
          <w:sz w:val="24"/>
        </w:rPr>
      </w:pPr>
      <w:r>
        <w:rPr>
          <w:rFonts w:hint="eastAsia"/>
          <w:sz w:val="24"/>
        </w:rPr>
        <w:t>3、关于配套募集资金的调整</w:t>
      </w:r>
    </w:p>
    <w:p>
      <w:pPr>
        <w:spacing w:before="50" w:after="50" w:line="360" w:lineRule="auto"/>
        <w:ind w:firstLine="480" w:firstLineChars="200"/>
        <w:rPr>
          <w:sz w:val="24"/>
        </w:rPr>
      </w:pPr>
      <w:r>
        <w:rPr>
          <w:sz w:val="24"/>
        </w:rPr>
        <w:t>新增或调增配套募集资金，应当视为构成对重组方案重大调整。调减或取消配套募集资金不构成重组方案的重大调整。</w:t>
      </w:r>
    </w:p>
    <w:p>
      <w:pPr>
        <w:spacing w:before="50" w:after="50" w:line="360" w:lineRule="auto"/>
        <w:ind w:firstLine="480" w:firstLineChars="200"/>
        <w:rPr>
          <w:sz w:val="24"/>
        </w:rPr>
      </w:pPr>
      <w:r>
        <w:rPr>
          <w:rFonts w:hint="eastAsia"/>
          <w:sz w:val="24"/>
        </w:rPr>
        <w:t>（二）本次交易方案调整构成重大调整</w:t>
      </w:r>
    </w:p>
    <w:p>
      <w:pPr>
        <w:spacing w:before="50" w:after="50" w:line="360" w:lineRule="auto"/>
        <w:ind w:firstLine="480" w:firstLineChars="200"/>
        <w:rPr>
          <w:sz w:val="24"/>
        </w:rPr>
      </w:pPr>
      <w:r>
        <w:rPr>
          <w:rFonts w:hint="eastAsia"/>
          <w:sz w:val="24"/>
        </w:rPr>
        <w:t>本次方案较前次方案的调整，因交易对方变更，涉及交易标的的变更占比超过百分之二十，且本次方案同时涉及新增配套募集资金，根据《&lt;上市公司重大资产重组管理办法&gt;第二十九条、第四十五条的适用意见——证券期货法律适用意见第15号》相关规定，本次方案调整构成对重组方案重大调整。</w:t>
      </w:r>
    </w:p>
    <w:p>
      <w:pPr>
        <w:spacing w:before="50" w:after="50" w:line="360" w:lineRule="auto"/>
        <w:ind w:firstLine="482" w:firstLineChars="200"/>
        <w:rPr>
          <w:b/>
          <w:bCs/>
          <w:sz w:val="24"/>
          <w:szCs w:val="32"/>
        </w:rPr>
      </w:pPr>
      <w:r>
        <w:rPr>
          <w:b/>
          <w:bCs/>
          <w:sz w:val="24"/>
          <w:szCs w:val="32"/>
        </w:rPr>
        <w:t>三、本次交易方案调整履行的决策程序</w:t>
      </w:r>
    </w:p>
    <w:p>
      <w:pPr>
        <w:spacing w:before="50" w:after="50" w:line="360" w:lineRule="auto"/>
        <w:ind w:firstLine="480" w:firstLineChars="200"/>
        <w:rPr>
          <w:sz w:val="24"/>
          <w:szCs w:val="28"/>
        </w:rPr>
      </w:pPr>
      <w:r>
        <w:rPr>
          <w:sz w:val="24"/>
          <w:szCs w:val="28"/>
        </w:rPr>
        <w:t>2023</w:t>
      </w:r>
      <w:r>
        <w:rPr>
          <w:rFonts w:hint="eastAsia"/>
          <w:sz w:val="24"/>
          <w:szCs w:val="28"/>
        </w:rPr>
        <w:t>年8月</w:t>
      </w:r>
      <w:r>
        <w:rPr>
          <w:rFonts w:hint="eastAsia"/>
          <w:sz w:val="24"/>
          <w:szCs w:val="28"/>
          <w:lang w:val="en-US" w:eastAsia="zh-CN"/>
        </w:rPr>
        <w:t>24</w:t>
      </w:r>
      <w:r>
        <w:rPr>
          <w:rFonts w:hint="eastAsia"/>
          <w:sz w:val="24"/>
          <w:szCs w:val="28"/>
        </w:rPr>
        <w:t>日，中广核技召开第十届董事会第</w:t>
      </w:r>
      <w:r>
        <w:rPr>
          <w:rFonts w:hint="eastAsia"/>
          <w:sz w:val="24"/>
          <w:szCs w:val="28"/>
          <w:lang w:val="en-US" w:eastAsia="zh-CN"/>
        </w:rPr>
        <w:t>九</w:t>
      </w:r>
      <w:r>
        <w:rPr>
          <w:rFonts w:hint="eastAsia"/>
          <w:sz w:val="24"/>
          <w:szCs w:val="28"/>
        </w:rPr>
        <w:t>次会议，审议通过了</w:t>
      </w:r>
      <w:r>
        <w:rPr>
          <w:sz w:val="24"/>
          <w:szCs w:val="28"/>
        </w:rPr>
        <w:t>《关于&lt;中广核核技术发展股份有限公司发行股份</w:t>
      </w:r>
      <w:r>
        <w:rPr>
          <w:rFonts w:hint="eastAsia"/>
          <w:sz w:val="24"/>
          <w:szCs w:val="28"/>
        </w:rPr>
        <w:t>及支付现金</w:t>
      </w:r>
      <w:r>
        <w:rPr>
          <w:sz w:val="24"/>
          <w:szCs w:val="28"/>
        </w:rPr>
        <w:t>购买资产</w:t>
      </w:r>
      <w:r>
        <w:rPr>
          <w:rFonts w:hint="eastAsia"/>
          <w:sz w:val="24"/>
          <w:szCs w:val="28"/>
        </w:rPr>
        <w:t>并募集配套资金</w:t>
      </w:r>
      <w:r>
        <w:rPr>
          <w:sz w:val="24"/>
          <w:szCs w:val="28"/>
        </w:rPr>
        <w:t>暨关联交易报告书（草案）</w:t>
      </w:r>
      <w:r>
        <w:rPr>
          <w:rFonts w:hint="eastAsia"/>
          <w:sz w:val="24"/>
          <w:szCs w:val="28"/>
        </w:rPr>
        <w:t>（修订稿）</w:t>
      </w:r>
      <w:r>
        <w:rPr>
          <w:sz w:val="24"/>
          <w:szCs w:val="28"/>
        </w:rPr>
        <w:t>&gt;及其摘要的议案》等相关议案</w:t>
      </w:r>
      <w:r>
        <w:rPr>
          <w:rFonts w:hint="eastAsia"/>
          <w:sz w:val="24"/>
          <w:szCs w:val="28"/>
        </w:rPr>
        <w:t>，同意上市公司对本次交易方案进行了调整。</w:t>
      </w:r>
    </w:p>
    <w:p>
      <w:pPr>
        <w:spacing w:before="50" w:after="50" w:line="360" w:lineRule="auto"/>
        <w:ind w:firstLine="480" w:firstLineChars="200"/>
        <w:rPr>
          <w:sz w:val="24"/>
          <w:szCs w:val="28"/>
        </w:rPr>
      </w:pPr>
      <w:r>
        <w:rPr>
          <w:sz w:val="24"/>
          <w:szCs w:val="28"/>
        </w:rPr>
        <w:t xml:space="preserve">公司独立董事对前述调整方案及材料进行了审阅，并发表了事前认可意见及 同意的独立意见。本次交易方案的调整方案尚需提交上市公司股东大会审议。上市公司对本次方案调整重新履行了必要的审批程序，不存在损害公司和股东尤其 中小股东利益的情形。 </w:t>
      </w:r>
    </w:p>
    <w:p>
      <w:pPr>
        <w:spacing w:before="50" w:after="50" w:line="360" w:lineRule="auto"/>
        <w:ind w:firstLine="480" w:firstLineChars="200"/>
        <w:rPr>
          <w:sz w:val="24"/>
          <w:szCs w:val="28"/>
        </w:rPr>
      </w:pPr>
      <w:r>
        <w:rPr>
          <w:sz w:val="24"/>
          <w:szCs w:val="28"/>
        </w:rPr>
        <w:t>特此公告。</w:t>
      </w:r>
    </w:p>
    <w:p>
      <w:pPr>
        <w:spacing w:before="50" w:after="50" w:line="360" w:lineRule="auto"/>
        <w:ind w:firstLine="480" w:firstLineChars="200"/>
        <w:rPr>
          <w:sz w:val="24"/>
          <w:szCs w:val="28"/>
        </w:rPr>
      </w:pPr>
    </w:p>
    <w:p>
      <w:pPr>
        <w:spacing w:before="50" w:after="50" w:line="360" w:lineRule="auto"/>
        <w:ind w:firstLine="480" w:firstLineChars="200"/>
        <w:rPr>
          <w:sz w:val="24"/>
          <w:szCs w:val="28"/>
        </w:rPr>
      </w:pPr>
    </w:p>
    <w:p>
      <w:pPr>
        <w:snapToGrid w:val="0"/>
        <w:spacing w:line="360" w:lineRule="auto"/>
        <w:ind w:firstLine="482" w:firstLineChars="200"/>
        <w:jc w:val="right"/>
        <w:rPr>
          <w:b/>
          <w:sz w:val="24"/>
        </w:rPr>
      </w:pPr>
      <w:r>
        <w:rPr>
          <w:b/>
          <w:sz w:val="24"/>
        </w:rPr>
        <w:t>中广核核技术发展股份有限公司</w:t>
      </w:r>
    </w:p>
    <w:p>
      <w:pPr>
        <w:snapToGrid w:val="0"/>
        <w:spacing w:line="360" w:lineRule="auto"/>
        <w:ind w:firstLine="482" w:firstLineChars="200"/>
        <w:jc w:val="right"/>
        <w:rPr>
          <w:b/>
          <w:sz w:val="24"/>
        </w:rPr>
      </w:pPr>
      <w:r>
        <w:rPr>
          <w:b/>
          <w:sz w:val="24"/>
        </w:rPr>
        <w:t>董事会</w:t>
      </w:r>
    </w:p>
    <w:p>
      <w:pPr>
        <w:snapToGrid w:val="0"/>
        <w:spacing w:line="360" w:lineRule="auto"/>
        <w:ind w:firstLine="482" w:firstLineChars="200"/>
        <w:jc w:val="right"/>
        <w:rPr>
          <w:color w:val="auto"/>
        </w:rPr>
      </w:pPr>
      <w:r>
        <w:rPr>
          <w:b/>
          <w:color w:val="auto"/>
          <w:sz w:val="24"/>
        </w:rPr>
        <w:t>2023年8月</w:t>
      </w:r>
      <w:r>
        <w:rPr>
          <w:rFonts w:hint="eastAsia"/>
          <w:b/>
          <w:color w:val="auto"/>
          <w:sz w:val="24"/>
          <w:lang w:val="en-US" w:eastAsia="zh-CN"/>
        </w:rPr>
        <w:t>28</w:t>
      </w:r>
      <w:r>
        <w:rPr>
          <w:b/>
          <w:color w:val="auto"/>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AE79D6"/>
    <w:multiLevelType w:val="multilevel"/>
    <w:tmpl w:val="0DAE79D6"/>
    <w:lvl w:ilvl="0" w:tentative="0">
      <w:start w:val="1"/>
      <w:numFmt w:val="chineseCountingThousand"/>
      <w:pStyle w:val="2"/>
      <w:suff w:val="nothing"/>
      <w:lvlText w:val="第%1章"/>
      <w:lvlJc w:val="left"/>
      <w:pPr>
        <w:ind w:left="0" w:firstLine="0"/>
      </w:p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D4E"/>
    <w:rsid w:val="000112FD"/>
    <w:rsid w:val="00032059"/>
    <w:rsid w:val="0004227D"/>
    <w:rsid w:val="000577BF"/>
    <w:rsid w:val="000B7B95"/>
    <w:rsid w:val="00142287"/>
    <w:rsid w:val="001428F8"/>
    <w:rsid w:val="0017257C"/>
    <w:rsid w:val="001911A7"/>
    <w:rsid w:val="001F0E50"/>
    <w:rsid w:val="0021162C"/>
    <w:rsid w:val="00272E74"/>
    <w:rsid w:val="00281A07"/>
    <w:rsid w:val="00296024"/>
    <w:rsid w:val="002B015F"/>
    <w:rsid w:val="0034659D"/>
    <w:rsid w:val="00397462"/>
    <w:rsid w:val="003F01BB"/>
    <w:rsid w:val="00402117"/>
    <w:rsid w:val="00437CD9"/>
    <w:rsid w:val="00443E1D"/>
    <w:rsid w:val="00456703"/>
    <w:rsid w:val="004B42EE"/>
    <w:rsid w:val="004B6DC6"/>
    <w:rsid w:val="00524FEF"/>
    <w:rsid w:val="00592191"/>
    <w:rsid w:val="005949DD"/>
    <w:rsid w:val="005B257D"/>
    <w:rsid w:val="005F59E9"/>
    <w:rsid w:val="006300D5"/>
    <w:rsid w:val="0064521E"/>
    <w:rsid w:val="006B1EDF"/>
    <w:rsid w:val="006C0586"/>
    <w:rsid w:val="006E5DFA"/>
    <w:rsid w:val="00780330"/>
    <w:rsid w:val="008270D3"/>
    <w:rsid w:val="0083738F"/>
    <w:rsid w:val="00860F5B"/>
    <w:rsid w:val="008C6621"/>
    <w:rsid w:val="008F7B68"/>
    <w:rsid w:val="00937B08"/>
    <w:rsid w:val="00943991"/>
    <w:rsid w:val="00960BD2"/>
    <w:rsid w:val="00964D83"/>
    <w:rsid w:val="009C11D1"/>
    <w:rsid w:val="009E4F52"/>
    <w:rsid w:val="00A01224"/>
    <w:rsid w:val="00A02EC1"/>
    <w:rsid w:val="00A22845"/>
    <w:rsid w:val="00A4260A"/>
    <w:rsid w:val="00A6611F"/>
    <w:rsid w:val="00A83C50"/>
    <w:rsid w:val="00AB5004"/>
    <w:rsid w:val="00B33EEB"/>
    <w:rsid w:val="00B84102"/>
    <w:rsid w:val="00BC6D8C"/>
    <w:rsid w:val="00BF6592"/>
    <w:rsid w:val="00C00233"/>
    <w:rsid w:val="00C026A7"/>
    <w:rsid w:val="00C802AF"/>
    <w:rsid w:val="00CC4D4E"/>
    <w:rsid w:val="00D54358"/>
    <w:rsid w:val="00D85B8E"/>
    <w:rsid w:val="00D95634"/>
    <w:rsid w:val="00DA3BFF"/>
    <w:rsid w:val="00E24F3C"/>
    <w:rsid w:val="00E3341C"/>
    <w:rsid w:val="00E725BF"/>
    <w:rsid w:val="00EA0F44"/>
    <w:rsid w:val="00EB145D"/>
    <w:rsid w:val="00EC1B27"/>
    <w:rsid w:val="00EC5F0E"/>
    <w:rsid w:val="00EF6711"/>
    <w:rsid w:val="00F75F73"/>
    <w:rsid w:val="00FC207F"/>
    <w:rsid w:val="080F291B"/>
    <w:rsid w:val="20D97609"/>
    <w:rsid w:val="288F2C3D"/>
    <w:rsid w:val="2A565F8E"/>
    <w:rsid w:val="31F0AEB2"/>
    <w:rsid w:val="32BB0EB8"/>
    <w:rsid w:val="432207FC"/>
    <w:rsid w:val="606E8C88"/>
    <w:rsid w:val="F6FBF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numPr>
        <w:ilvl w:val="0"/>
        <w:numId w:val="1"/>
      </w:numPr>
      <w:spacing w:before="240" w:after="60"/>
      <w:jc w:val="center"/>
      <w:outlineLvl w:val="0"/>
    </w:pPr>
    <w:rPr>
      <w:rFonts w:ascii="Cambria" w:hAnsi="Cambria" w:eastAsia="黑体" w:cstheme="minorBidi"/>
      <w:b/>
      <w:bCs/>
      <w:kern w:val="32"/>
      <w:sz w:val="36"/>
      <w:szCs w:val="32"/>
    </w:rPr>
  </w:style>
  <w:style w:type="paragraph" w:styleId="3">
    <w:name w:val="heading 2"/>
    <w:basedOn w:val="1"/>
    <w:next w:val="1"/>
    <w:link w:val="14"/>
    <w:qFormat/>
    <w:uiPriority w:val="0"/>
    <w:pPr>
      <w:keepNext/>
      <w:numPr>
        <w:ilvl w:val="1"/>
        <w:numId w:val="1"/>
      </w:numPr>
      <w:spacing w:before="240" w:after="60"/>
      <w:ind w:left="210" w:leftChars="100" w:right="100" w:rightChars="100"/>
      <w:jc w:val="left"/>
      <w:outlineLvl w:val="1"/>
    </w:pPr>
    <w:rPr>
      <w:rFonts w:ascii="Cambria" w:hAnsi="Cambria" w:eastAsiaTheme="minorEastAsia" w:cstheme="minorBidi"/>
      <w:b/>
      <w:bCs/>
      <w:iCs/>
      <w:sz w:val="24"/>
      <w:szCs w:val="28"/>
    </w:rPr>
  </w:style>
  <w:style w:type="paragraph" w:styleId="4">
    <w:name w:val="heading 3"/>
    <w:basedOn w:val="1"/>
    <w:next w:val="1"/>
    <w:link w:val="15"/>
    <w:qFormat/>
    <w:uiPriority w:val="0"/>
    <w:pPr>
      <w:keepNext/>
      <w:numPr>
        <w:ilvl w:val="2"/>
        <w:numId w:val="1"/>
      </w:numPr>
      <w:spacing w:before="240" w:after="60"/>
      <w:jc w:val="center"/>
      <w:outlineLvl w:val="2"/>
    </w:pPr>
    <w:rPr>
      <w:rFonts w:ascii="Cambria" w:hAnsi="Cambria" w:eastAsia="仿宋" w:cstheme="minorBidi"/>
      <w:b/>
      <w:bCs/>
      <w:sz w:val="26"/>
      <w:szCs w:val="2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0"/>
    <w:unhideWhenUsed/>
    <w:qFormat/>
    <w:uiPriority w:val="99"/>
    <w:pPr>
      <w:jc w:val="left"/>
    </w:pPr>
  </w:style>
  <w:style w:type="paragraph" w:styleId="6">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Title"/>
    <w:basedOn w:val="1"/>
    <w:next w:val="1"/>
    <w:link w:val="16"/>
    <w:qFormat/>
    <w:uiPriority w:val="0"/>
    <w:pPr>
      <w:spacing w:before="240" w:after="60"/>
      <w:jc w:val="center"/>
      <w:outlineLvl w:val="0"/>
    </w:pPr>
    <w:rPr>
      <w:rFonts w:ascii="Cambria" w:hAnsi="Cambria" w:eastAsia="仿宋" w:cstheme="minorBidi"/>
      <w:b/>
      <w:bCs/>
      <w:kern w:val="28"/>
      <w:sz w:val="44"/>
      <w:szCs w:val="32"/>
    </w:rPr>
  </w:style>
  <w:style w:type="paragraph" w:styleId="9">
    <w:name w:val="annotation subject"/>
    <w:basedOn w:val="5"/>
    <w:next w:val="5"/>
    <w:link w:val="21"/>
    <w:semiHidden/>
    <w:unhideWhenUsed/>
    <w:uiPriority w:val="99"/>
    <w:rPr>
      <w:b/>
      <w:bCs/>
    </w:rPr>
  </w:style>
  <w:style w:type="character" w:styleId="12">
    <w:name w:val="annotation reference"/>
    <w:basedOn w:val="11"/>
    <w:semiHidden/>
    <w:unhideWhenUsed/>
    <w:qFormat/>
    <w:uiPriority w:val="99"/>
    <w:rPr>
      <w:sz w:val="21"/>
      <w:szCs w:val="21"/>
    </w:rPr>
  </w:style>
  <w:style w:type="character" w:customStyle="1" w:styleId="13">
    <w:name w:val="标题 1 字符"/>
    <w:link w:val="2"/>
    <w:qFormat/>
    <w:uiPriority w:val="0"/>
    <w:rPr>
      <w:rFonts w:ascii="Cambria" w:hAnsi="Cambria" w:eastAsia="黑体"/>
      <w:b/>
      <w:bCs/>
      <w:kern w:val="32"/>
      <w:sz w:val="36"/>
      <w:szCs w:val="32"/>
    </w:rPr>
  </w:style>
  <w:style w:type="character" w:customStyle="1" w:styleId="14">
    <w:name w:val="标题 2 字符"/>
    <w:link w:val="3"/>
    <w:qFormat/>
    <w:uiPriority w:val="0"/>
    <w:rPr>
      <w:rFonts w:ascii="Cambria" w:hAnsi="Cambria"/>
      <w:b/>
      <w:bCs/>
      <w:iCs/>
      <w:sz w:val="24"/>
      <w:szCs w:val="28"/>
    </w:rPr>
  </w:style>
  <w:style w:type="character" w:customStyle="1" w:styleId="15">
    <w:name w:val="标题 3 字符"/>
    <w:link w:val="4"/>
    <w:qFormat/>
    <w:uiPriority w:val="0"/>
    <w:rPr>
      <w:rFonts w:ascii="Cambria" w:hAnsi="Cambria" w:eastAsia="仿宋"/>
      <w:b/>
      <w:bCs/>
      <w:sz w:val="26"/>
      <w:szCs w:val="26"/>
    </w:rPr>
  </w:style>
  <w:style w:type="character" w:customStyle="1" w:styleId="16">
    <w:name w:val="标题 字符"/>
    <w:link w:val="8"/>
    <w:qFormat/>
    <w:uiPriority w:val="0"/>
    <w:rPr>
      <w:rFonts w:ascii="Cambria" w:hAnsi="Cambria" w:eastAsia="仿宋"/>
      <w:b/>
      <w:bCs/>
      <w:kern w:val="28"/>
      <w:sz w:val="44"/>
      <w:szCs w:val="32"/>
    </w:rPr>
  </w:style>
  <w:style w:type="character" w:customStyle="1" w:styleId="17">
    <w:name w:val="页眉 字符"/>
    <w:basedOn w:val="11"/>
    <w:link w:val="7"/>
    <w:qFormat/>
    <w:uiPriority w:val="99"/>
    <w:rPr>
      <w:sz w:val="18"/>
      <w:szCs w:val="18"/>
    </w:rPr>
  </w:style>
  <w:style w:type="character" w:customStyle="1" w:styleId="18">
    <w:name w:val="页脚 字符"/>
    <w:basedOn w:val="11"/>
    <w:link w:val="6"/>
    <w:qFormat/>
    <w:uiPriority w:val="99"/>
    <w:rPr>
      <w:sz w:val="18"/>
      <w:szCs w:val="18"/>
    </w:rPr>
  </w:style>
  <w:style w:type="paragraph" w:customStyle="1" w:styleId="19">
    <w:name w:val="修订1"/>
    <w:hidden/>
    <w:semiHidden/>
    <w:uiPriority w:val="99"/>
    <w:rPr>
      <w:rFonts w:ascii="Times New Roman" w:hAnsi="Times New Roman" w:eastAsia="宋体" w:cs="Times New Roman"/>
      <w:kern w:val="2"/>
      <w:sz w:val="21"/>
      <w:szCs w:val="24"/>
      <w:lang w:val="en-US" w:eastAsia="zh-CN" w:bidi="ar-SA"/>
    </w:rPr>
  </w:style>
  <w:style w:type="character" w:customStyle="1" w:styleId="20">
    <w:name w:val="批注文字 字符"/>
    <w:basedOn w:val="11"/>
    <w:link w:val="5"/>
    <w:qFormat/>
    <w:uiPriority w:val="99"/>
    <w:rPr>
      <w:rFonts w:ascii="Times New Roman" w:hAnsi="Times New Roman" w:eastAsia="宋体" w:cs="Times New Roman"/>
      <w:szCs w:val="24"/>
    </w:rPr>
  </w:style>
  <w:style w:type="character" w:customStyle="1" w:styleId="21">
    <w:name w:val="批注主题 字符"/>
    <w:basedOn w:val="20"/>
    <w:link w:val="9"/>
    <w:semiHidden/>
    <w:uiPriority w:val="99"/>
    <w:rPr>
      <w:rFonts w:ascii="Times New Roman" w:hAnsi="Times New Roman" w:eastAsia="宋体" w:cs="Times New Roman"/>
      <w:b/>
      <w:bCs/>
      <w:szCs w:val="24"/>
    </w:rPr>
  </w:style>
  <w:style w:type="paragraph" w:customStyle="1" w:styleId="2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346</Words>
  <Characters>1974</Characters>
  <Lines>16</Lines>
  <Paragraphs>4</Paragraphs>
  <TotalTime>1</TotalTime>
  <ScaleCrop>false</ScaleCrop>
  <LinksUpToDate>false</LinksUpToDate>
  <CharactersWithSpaces>2316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2023-03-31T08:01:00Z</dcterms:created>
  <dc:creator>刘青尚 Liu, Qingshang</dc:creator>
  <cp:lastModifiedBy>牟海涛</cp:lastModifiedBy>
  <dcterms:modified xsi:type="dcterms:W3CDTF">2023-08-25T03:18:06Z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EA3174A8A35B26447AE4C96418CCDAA0_42</vt:lpwstr>
  </property>
</Properties>
</file>