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0" w:type="dxa"/>
        <w:tblLook w:val="0000" w:firstRow="0" w:lastRow="0" w:firstColumn="0" w:lastColumn="0" w:noHBand="0" w:noVBand="0"/>
      </w:tblPr>
      <w:tblGrid>
        <w:gridCol w:w="2768"/>
        <w:gridCol w:w="2769"/>
        <w:gridCol w:w="2769"/>
      </w:tblGrid>
      <w:tr w:rsidR="00000000" w14:paraId="780202E5" w14:textId="77777777">
        <w:tc>
          <w:tcPr>
            <w:tcW w:w="1666" w:type="pct"/>
          </w:tcPr>
          <w:p w14:paraId="5A976821" w14:textId="77777777" w:rsidR="00000000" w:rsidRDefault="00000000">
            <w:pPr>
              <w:adjustRightInd w:val="0"/>
              <w:snapToGrid w:val="0"/>
              <w:spacing w:line="440" w:lineRule="exact"/>
              <w:rPr>
                <w:sz w:val="24"/>
              </w:rPr>
            </w:pPr>
            <w:r>
              <w:rPr>
                <w:sz w:val="24"/>
              </w:rPr>
              <w:t>证券代码：</w:t>
            </w:r>
            <w:r>
              <w:rPr>
                <w:sz w:val="24"/>
              </w:rPr>
              <w:t>000881</w:t>
            </w:r>
          </w:p>
        </w:tc>
        <w:tc>
          <w:tcPr>
            <w:tcW w:w="1667" w:type="pct"/>
          </w:tcPr>
          <w:p w14:paraId="7D82AD86" w14:textId="77777777" w:rsidR="00000000" w:rsidRDefault="00000000">
            <w:pPr>
              <w:adjustRightInd w:val="0"/>
              <w:snapToGrid w:val="0"/>
              <w:spacing w:line="440" w:lineRule="exact"/>
              <w:jc w:val="center"/>
              <w:rPr>
                <w:sz w:val="24"/>
              </w:rPr>
            </w:pPr>
            <w:r>
              <w:rPr>
                <w:sz w:val="24"/>
              </w:rPr>
              <w:t>证券简称：中广核技</w:t>
            </w:r>
          </w:p>
        </w:tc>
        <w:tc>
          <w:tcPr>
            <w:tcW w:w="1667" w:type="pct"/>
          </w:tcPr>
          <w:p w14:paraId="1947F155" w14:textId="77777777" w:rsidR="00000000" w:rsidRDefault="00000000">
            <w:pPr>
              <w:adjustRightInd w:val="0"/>
              <w:snapToGrid w:val="0"/>
              <w:spacing w:line="440" w:lineRule="exact"/>
              <w:jc w:val="right"/>
              <w:rPr>
                <w:sz w:val="24"/>
              </w:rPr>
            </w:pPr>
            <w:r>
              <w:rPr>
                <w:sz w:val="24"/>
              </w:rPr>
              <w:t>公告编号：</w:t>
            </w:r>
            <w:r>
              <w:rPr>
                <w:sz w:val="24"/>
              </w:rPr>
              <w:t>2023-</w:t>
            </w:r>
            <w:r>
              <w:rPr>
                <w:rFonts w:hint="eastAsia"/>
                <w:sz w:val="24"/>
              </w:rPr>
              <w:t>079</w:t>
            </w:r>
          </w:p>
        </w:tc>
      </w:tr>
    </w:tbl>
    <w:p w14:paraId="0036142A" w14:textId="77777777" w:rsidR="00000000" w:rsidRDefault="00000000">
      <w:pPr>
        <w:snapToGrid w:val="0"/>
        <w:spacing w:beforeLines="50" w:before="156"/>
        <w:jc w:val="center"/>
        <w:rPr>
          <w:b/>
          <w:sz w:val="36"/>
          <w:szCs w:val="36"/>
        </w:rPr>
      </w:pPr>
      <w:r>
        <w:rPr>
          <w:b/>
          <w:sz w:val="36"/>
          <w:szCs w:val="36"/>
        </w:rPr>
        <w:t>中广核核技术发展股份有限公司</w:t>
      </w:r>
    </w:p>
    <w:p w14:paraId="35B0443C" w14:textId="77777777" w:rsidR="00000000" w:rsidRDefault="00000000">
      <w:pPr>
        <w:snapToGrid w:val="0"/>
        <w:jc w:val="center"/>
        <w:rPr>
          <w:b/>
          <w:sz w:val="36"/>
          <w:szCs w:val="36"/>
        </w:rPr>
      </w:pPr>
      <w:r>
        <w:rPr>
          <w:b/>
          <w:sz w:val="36"/>
          <w:szCs w:val="36"/>
        </w:rPr>
        <w:t>第</w:t>
      </w:r>
      <w:r>
        <w:rPr>
          <w:rFonts w:hint="eastAsia"/>
          <w:b/>
          <w:sz w:val="36"/>
          <w:szCs w:val="36"/>
        </w:rPr>
        <w:t>十</w:t>
      </w:r>
      <w:r>
        <w:rPr>
          <w:b/>
          <w:sz w:val="36"/>
          <w:szCs w:val="36"/>
        </w:rPr>
        <w:t>届董事会第</w:t>
      </w:r>
      <w:r>
        <w:rPr>
          <w:rFonts w:hint="eastAsia"/>
          <w:b/>
          <w:sz w:val="36"/>
          <w:szCs w:val="36"/>
        </w:rPr>
        <w:t>九</w:t>
      </w:r>
      <w:r>
        <w:rPr>
          <w:b/>
          <w:sz w:val="36"/>
          <w:szCs w:val="36"/>
        </w:rPr>
        <w:t>次会议决议公告</w:t>
      </w:r>
    </w:p>
    <w:p w14:paraId="46367562" w14:textId="77777777" w:rsidR="00000000" w:rsidRDefault="00000000">
      <w:pPr>
        <w:snapToGrid w:val="0"/>
        <w:spacing w:beforeLines="50" w:before="156" w:line="360" w:lineRule="auto"/>
        <w:ind w:firstLineChars="200" w:firstLine="422"/>
        <w:rPr>
          <w:b/>
          <w:szCs w:val="21"/>
        </w:rPr>
      </w:pPr>
      <w:r>
        <w:rPr>
          <w:b/>
          <w:szCs w:val="21"/>
        </w:rPr>
        <w:t>本公司及董事会全体成员保证信息披露的内容真实、准确、完整，没有虚假记载、误导性陈述或者重大遗漏。</w:t>
      </w:r>
    </w:p>
    <w:p w14:paraId="324212AF" w14:textId="77777777" w:rsidR="00000000" w:rsidRDefault="00000000">
      <w:pPr>
        <w:adjustRightInd w:val="0"/>
        <w:snapToGrid w:val="0"/>
        <w:spacing w:line="360" w:lineRule="auto"/>
        <w:ind w:firstLineChars="200" w:firstLine="482"/>
        <w:outlineLvl w:val="0"/>
        <w:rPr>
          <w:b/>
          <w:sz w:val="24"/>
          <w:szCs w:val="24"/>
        </w:rPr>
      </w:pPr>
      <w:r>
        <w:rPr>
          <w:b/>
          <w:sz w:val="24"/>
          <w:szCs w:val="24"/>
        </w:rPr>
        <w:t>一、董事会会议召开情况</w:t>
      </w:r>
    </w:p>
    <w:p w14:paraId="2BD39480" w14:textId="77777777" w:rsidR="00000000" w:rsidRDefault="00000000">
      <w:pPr>
        <w:adjustRightInd w:val="0"/>
        <w:snapToGrid w:val="0"/>
        <w:spacing w:line="360" w:lineRule="auto"/>
        <w:ind w:firstLineChars="200" w:firstLine="480"/>
        <w:rPr>
          <w:sz w:val="24"/>
          <w:szCs w:val="24"/>
        </w:rPr>
      </w:pPr>
      <w:r>
        <w:rPr>
          <w:sz w:val="24"/>
          <w:szCs w:val="24"/>
        </w:rPr>
        <w:t>1</w:t>
      </w:r>
      <w:r>
        <w:rPr>
          <w:sz w:val="24"/>
          <w:szCs w:val="24"/>
        </w:rPr>
        <w:t>、中广核核技术发展股份有限公司（以下简称</w:t>
      </w:r>
      <w:r>
        <w:rPr>
          <w:sz w:val="24"/>
          <w:szCs w:val="24"/>
        </w:rPr>
        <w:t>“</w:t>
      </w:r>
      <w:r>
        <w:rPr>
          <w:sz w:val="24"/>
          <w:szCs w:val="24"/>
        </w:rPr>
        <w:t>公司</w:t>
      </w:r>
      <w:r>
        <w:rPr>
          <w:sz w:val="24"/>
          <w:szCs w:val="24"/>
        </w:rPr>
        <w:t>”</w:t>
      </w:r>
      <w:r>
        <w:rPr>
          <w:rFonts w:hint="eastAsia"/>
          <w:sz w:val="24"/>
          <w:szCs w:val="24"/>
        </w:rPr>
        <w:t>、“上市公司”</w:t>
      </w:r>
      <w:r>
        <w:rPr>
          <w:sz w:val="24"/>
          <w:szCs w:val="24"/>
        </w:rPr>
        <w:t>或</w:t>
      </w:r>
      <w:r>
        <w:rPr>
          <w:sz w:val="24"/>
          <w:szCs w:val="24"/>
        </w:rPr>
        <w:t>“</w:t>
      </w:r>
      <w:r>
        <w:rPr>
          <w:sz w:val="24"/>
          <w:szCs w:val="24"/>
        </w:rPr>
        <w:t>中广核技</w:t>
      </w:r>
      <w:r>
        <w:rPr>
          <w:sz w:val="24"/>
          <w:szCs w:val="24"/>
        </w:rPr>
        <w:t>”</w:t>
      </w:r>
      <w:r>
        <w:rPr>
          <w:sz w:val="24"/>
          <w:szCs w:val="24"/>
        </w:rPr>
        <w:t>）第十届董事会第</w:t>
      </w:r>
      <w:r>
        <w:rPr>
          <w:rFonts w:hint="eastAsia"/>
          <w:sz w:val="24"/>
          <w:szCs w:val="24"/>
        </w:rPr>
        <w:t>九</w:t>
      </w:r>
      <w:r>
        <w:rPr>
          <w:sz w:val="24"/>
          <w:szCs w:val="24"/>
        </w:rPr>
        <w:t>次会议（以下简称</w:t>
      </w:r>
      <w:r>
        <w:rPr>
          <w:sz w:val="24"/>
          <w:szCs w:val="24"/>
        </w:rPr>
        <w:t>“</w:t>
      </w:r>
      <w:r>
        <w:rPr>
          <w:sz w:val="24"/>
          <w:szCs w:val="24"/>
        </w:rPr>
        <w:t>本次会议</w:t>
      </w:r>
      <w:r>
        <w:rPr>
          <w:sz w:val="24"/>
          <w:szCs w:val="24"/>
        </w:rPr>
        <w:t>”</w:t>
      </w:r>
      <w:r>
        <w:rPr>
          <w:sz w:val="24"/>
          <w:szCs w:val="24"/>
        </w:rPr>
        <w:t>）通知于</w:t>
      </w:r>
      <w:r>
        <w:rPr>
          <w:sz w:val="24"/>
          <w:szCs w:val="24"/>
        </w:rPr>
        <w:t>2023</w:t>
      </w:r>
      <w:r>
        <w:rPr>
          <w:sz w:val="24"/>
          <w:szCs w:val="24"/>
        </w:rPr>
        <w:t>年</w:t>
      </w:r>
      <w:r>
        <w:rPr>
          <w:rFonts w:hint="eastAsia"/>
          <w:sz w:val="24"/>
          <w:szCs w:val="24"/>
        </w:rPr>
        <w:t>8</w:t>
      </w:r>
      <w:r>
        <w:rPr>
          <w:sz w:val="24"/>
          <w:szCs w:val="24"/>
        </w:rPr>
        <w:t>月</w:t>
      </w:r>
      <w:r>
        <w:rPr>
          <w:rFonts w:hint="eastAsia"/>
          <w:sz w:val="24"/>
          <w:szCs w:val="24"/>
        </w:rPr>
        <w:t>14</w:t>
      </w:r>
      <w:r>
        <w:rPr>
          <w:sz w:val="24"/>
          <w:szCs w:val="24"/>
        </w:rPr>
        <w:t>日以电子邮件形式发出。</w:t>
      </w:r>
    </w:p>
    <w:p w14:paraId="6EF4AC91" w14:textId="77777777" w:rsidR="00000000" w:rsidRDefault="00000000">
      <w:pPr>
        <w:adjustRightInd w:val="0"/>
        <w:snapToGrid w:val="0"/>
        <w:spacing w:line="360" w:lineRule="auto"/>
        <w:ind w:firstLineChars="200" w:firstLine="480"/>
        <w:rPr>
          <w:sz w:val="24"/>
          <w:szCs w:val="24"/>
        </w:rPr>
      </w:pPr>
      <w:r>
        <w:rPr>
          <w:sz w:val="24"/>
          <w:szCs w:val="24"/>
        </w:rPr>
        <w:t>2</w:t>
      </w:r>
      <w:r>
        <w:rPr>
          <w:sz w:val="24"/>
          <w:szCs w:val="24"/>
        </w:rPr>
        <w:t>、本次会议于</w:t>
      </w:r>
      <w:r>
        <w:rPr>
          <w:sz w:val="24"/>
          <w:szCs w:val="24"/>
        </w:rPr>
        <w:t>2023</w:t>
      </w:r>
      <w:r>
        <w:rPr>
          <w:sz w:val="24"/>
          <w:szCs w:val="24"/>
        </w:rPr>
        <w:t>年</w:t>
      </w:r>
      <w:r>
        <w:rPr>
          <w:rFonts w:hint="eastAsia"/>
          <w:sz w:val="24"/>
          <w:szCs w:val="24"/>
        </w:rPr>
        <w:t>8</w:t>
      </w:r>
      <w:r>
        <w:rPr>
          <w:sz w:val="24"/>
          <w:szCs w:val="24"/>
        </w:rPr>
        <w:t>月</w:t>
      </w:r>
      <w:r>
        <w:rPr>
          <w:rFonts w:hint="eastAsia"/>
          <w:sz w:val="24"/>
          <w:szCs w:val="24"/>
        </w:rPr>
        <w:t>24</w:t>
      </w:r>
      <w:r>
        <w:rPr>
          <w:sz w:val="24"/>
          <w:szCs w:val="24"/>
        </w:rPr>
        <w:t>日上午</w:t>
      </w:r>
      <w:r>
        <w:rPr>
          <w:sz w:val="24"/>
          <w:szCs w:val="24"/>
        </w:rPr>
        <w:t>9:00</w:t>
      </w:r>
      <w:r>
        <w:rPr>
          <w:sz w:val="24"/>
          <w:szCs w:val="24"/>
        </w:rPr>
        <w:t>时在深圳市福田区深南大道</w:t>
      </w:r>
      <w:r>
        <w:rPr>
          <w:sz w:val="24"/>
          <w:szCs w:val="24"/>
        </w:rPr>
        <w:t>2002</w:t>
      </w:r>
      <w:r>
        <w:rPr>
          <w:sz w:val="24"/>
          <w:szCs w:val="24"/>
        </w:rPr>
        <w:t>号中广核大厦北楼</w:t>
      </w:r>
      <w:r>
        <w:rPr>
          <w:sz w:val="24"/>
          <w:szCs w:val="24"/>
        </w:rPr>
        <w:t>19</w:t>
      </w:r>
      <w:r>
        <w:rPr>
          <w:sz w:val="24"/>
          <w:szCs w:val="24"/>
        </w:rPr>
        <w:t>层</w:t>
      </w:r>
      <w:r>
        <w:rPr>
          <w:sz w:val="24"/>
          <w:szCs w:val="24"/>
        </w:rPr>
        <w:t>881</w:t>
      </w:r>
      <w:r>
        <w:rPr>
          <w:sz w:val="24"/>
          <w:szCs w:val="24"/>
        </w:rPr>
        <w:t>会议室以现场</w:t>
      </w:r>
      <w:r>
        <w:rPr>
          <w:rFonts w:hint="eastAsia"/>
          <w:sz w:val="24"/>
          <w:szCs w:val="24"/>
        </w:rPr>
        <w:t>会议</w:t>
      </w:r>
      <w:r>
        <w:rPr>
          <w:sz w:val="24"/>
          <w:szCs w:val="24"/>
        </w:rPr>
        <w:t>的方式召开。</w:t>
      </w:r>
    </w:p>
    <w:p w14:paraId="3B8D2E1D" w14:textId="77777777" w:rsidR="00000000" w:rsidRDefault="00000000">
      <w:pPr>
        <w:adjustRightInd w:val="0"/>
        <w:snapToGrid w:val="0"/>
        <w:spacing w:line="360" w:lineRule="auto"/>
        <w:ind w:firstLineChars="200" w:firstLine="480"/>
        <w:rPr>
          <w:sz w:val="24"/>
          <w:szCs w:val="24"/>
        </w:rPr>
      </w:pPr>
      <w:r>
        <w:rPr>
          <w:sz w:val="24"/>
          <w:szCs w:val="24"/>
        </w:rPr>
        <w:t>3</w:t>
      </w:r>
      <w:r>
        <w:rPr>
          <w:sz w:val="24"/>
          <w:szCs w:val="24"/>
        </w:rPr>
        <w:t>、本次会议应出席董事</w:t>
      </w:r>
      <w:r>
        <w:rPr>
          <w:sz w:val="24"/>
          <w:szCs w:val="24"/>
        </w:rPr>
        <w:t>9</w:t>
      </w:r>
      <w:r>
        <w:rPr>
          <w:sz w:val="24"/>
          <w:szCs w:val="24"/>
        </w:rPr>
        <w:t>名，实际</w:t>
      </w:r>
      <w:r>
        <w:rPr>
          <w:rFonts w:hint="eastAsia"/>
          <w:sz w:val="24"/>
          <w:szCs w:val="24"/>
        </w:rPr>
        <w:t>现场</w:t>
      </w:r>
      <w:r>
        <w:rPr>
          <w:sz w:val="24"/>
          <w:szCs w:val="24"/>
        </w:rPr>
        <w:t>出席会议董事</w:t>
      </w:r>
      <w:r>
        <w:rPr>
          <w:sz w:val="24"/>
          <w:szCs w:val="24"/>
        </w:rPr>
        <w:t>9</w:t>
      </w:r>
      <w:r>
        <w:rPr>
          <w:sz w:val="24"/>
          <w:szCs w:val="24"/>
        </w:rPr>
        <w:t>名。</w:t>
      </w:r>
    </w:p>
    <w:p w14:paraId="322ED6B1" w14:textId="77777777" w:rsidR="00000000" w:rsidRDefault="00000000">
      <w:pPr>
        <w:adjustRightInd w:val="0"/>
        <w:snapToGrid w:val="0"/>
        <w:spacing w:line="360" w:lineRule="auto"/>
        <w:ind w:firstLineChars="200" w:firstLine="480"/>
        <w:rPr>
          <w:sz w:val="24"/>
          <w:szCs w:val="24"/>
        </w:rPr>
      </w:pPr>
      <w:r>
        <w:rPr>
          <w:sz w:val="24"/>
          <w:szCs w:val="24"/>
        </w:rPr>
        <w:t>4</w:t>
      </w:r>
      <w:r>
        <w:rPr>
          <w:sz w:val="24"/>
          <w:szCs w:val="24"/>
        </w:rPr>
        <w:t>、本次会议由董事长李勇先生召集并主持。公司</w:t>
      </w:r>
      <w:r>
        <w:rPr>
          <w:sz w:val="24"/>
          <w:szCs w:val="24"/>
        </w:rPr>
        <w:t>3</w:t>
      </w:r>
      <w:r>
        <w:rPr>
          <w:sz w:val="24"/>
          <w:szCs w:val="24"/>
        </w:rPr>
        <w:t>名监事、董事会秘书及部分高管人员列席会议。</w:t>
      </w:r>
    </w:p>
    <w:p w14:paraId="49EF1B11" w14:textId="77777777" w:rsidR="00000000" w:rsidRDefault="00000000">
      <w:pPr>
        <w:adjustRightInd w:val="0"/>
        <w:snapToGrid w:val="0"/>
        <w:spacing w:line="360" w:lineRule="auto"/>
        <w:ind w:firstLineChars="200" w:firstLine="480"/>
        <w:rPr>
          <w:sz w:val="24"/>
          <w:szCs w:val="24"/>
        </w:rPr>
      </w:pPr>
      <w:r>
        <w:rPr>
          <w:sz w:val="24"/>
          <w:szCs w:val="24"/>
        </w:rPr>
        <w:t>5</w:t>
      </w:r>
      <w:r>
        <w:rPr>
          <w:sz w:val="24"/>
          <w:szCs w:val="24"/>
        </w:rPr>
        <w:t>、本次会议的召集、召开符合有关法律、行政法规、部门规章、规范性文件和《公司章程》的规定。</w:t>
      </w:r>
    </w:p>
    <w:p w14:paraId="74EE420D" w14:textId="77777777" w:rsidR="00000000" w:rsidRDefault="00000000">
      <w:pPr>
        <w:adjustRightInd w:val="0"/>
        <w:snapToGrid w:val="0"/>
        <w:spacing w:line="360" w:lineRule="auto"/>
        <w:ind w:firstLineChars="200" w:firstLine="482"/>
        <w:outlineLvl w:val="0"/>
        <w:rPr>
          <w:b/>
          <w:sz w:val="24"/>
          <w:szCs w:val="24"/>
        </w:rPr>
      </w:pPr>
      <w:r>
        <w:rPr>
          <w:b/>
          <w:sz w:val="24"/>
          <w:szCs w:val="24"/>
        </w:rPr>
        <w:t>二、董事会会议审议情况</w:t>
      </w:r>
    </w:p>
    <w:p w14:paraId="7368D59F" w14:textId="77777777" w:rsidR="00000000" w:rsidRDefault="00000000">
      <w:pPr>
        <w:adjustRightInd w:val="0"/>
        <w:snapToGrid w:val="0"/>
        <w:spacing w:line="360" w:lineRule="auto"/>
        <w:ind w:firstLineChars="200" w:firstLine="480"/>
        <w:rPr>
          <w:sz w:val="24"/>
          <w:szCs w:val="24"/>
        </w:rPr>
      </w:pPr>
      <w:r>
        <w:rPr>
          <w:sz w:val="24"/>
          <w:szCs w:val="24"/>
        </w:rPr>
        <w:t>经出席会议的董事审议和表决，本次会议形成以下决议，独立董事对相关议案</w:t>
      </w:r>
      <w:r>
        <w:rPr>
          <w:rFonts w:hint="eastAsia"/>
          <w:sz w:val="24"/>
          <w:szCs w:val="24"/>
        </w:rPr>
        <w:t>已</w:t>
      </w:r>
      <w:r>
        <w:rPr>
          <w:sz w:val="24"/>
          <w:szCs w:val="24"/>
        </w:rPr>
        <w:t>发表事前认可和同意的独立意见。</w:t>
      </w:r>
    </w:p>
    <w:p w14:paraId="17D819FE" w14:textId="77777777" w:rsidR="00000000" w:rsidRDefault="00000000">
      <w:pPr>
        <w:spacing w:before="50" w:after="50" w:line="360" w:lineRule="auto"/>
        <w:ind w:firstLineChars="200" w:firstLine="482"/>
        <w:rPr>
          <w:b/>
          <w:sz w:val="24"/>
          <w:szCs w:val="24"/>
        </w:rPr>
      </w:pPr>
      <w:r>
        <w:rPr>
          <w:b/>
          <w:sz w:val="24"/>
          <w:szCs w:val="24"/>
        </w:rPr>
        <w:t>（一）审议通过《关于调整本次交易方案的议案》</w:t>
      </w:r>
    </w:p>
    <w:p w14:paraId="5869E809" w14:textId="77777777" w:rsidR="00000000" w:rsidRDefault="00000000">
      <w:pPr>
        <w:spacing w:before="50" w:after="50" w:line="360" w:lineRule="auto"/>
        <w:ind w:firstLineChars="200" w:firstLine="480"/>
        <w:rPr>
          <w:bCs/>
          <w:sz w:val="24"/>
          <w:szCs w:val="24"/>
        </w:rPr>
      </w:pPr>
      <w:r>
        <w:rPr>
          <w:bCs/>
          <w:sz w:val="24"/>
          <w:szCs w:val="24"/>
        </w:rPr>
        <w:t>2022</w:t>
      </w:r>
      <w:r>
        <w:rPr>
          <w:bCs/>
          <w:sz w:val="24"/>
          <w:szCs w:val="24"/>
        </w:rPr>
        <w:t>年</w:t>
      </w:r>
      <w:r>
        <w:rPr>
          <w:bCs/>
          <w:sz w:val="24"/>
          <w:szCs w:val="24"/>
        </w:rPr>
        <w:t>7</w:t>
      </w:r>
      <w:r>
        <w:rPr>
          <w:bCs/>
          <w:sz w:val="24"/>
          <w:szCs w:val="24"/>
        </w:rPr>
        <w:t>月</w:t>
      </w:r>
      <w:r>
        <w:rPr>
          <w:bCs/>
          <w:sz w:val="24"/>
          <w:szCs w:val="24"/>
        </w:rPr>
        <w:t>1</w:t>
      </w:r>
      <w:r>
        <w:rPr>
          <w:bCs/>
          <w:sz w:val="24"/>
          <w:szCs w:val="24"/>
        </w:rPr>
        <w:t>日，</w:t>
      </w:r>
      <w:r>
        <w:rPr>
          <w:rFonts w:hint="eastAsia"/>
          <w:bCs/>
          <w:sz w:val="24"/>
          <w:szCs w:val="24"/>
        </w:rPr>
        <w:t>中广核技</w:t>
      </w:r>
      <w:r>
        <w:rPr>
          <w:bCs/>
          <w:sz w:val="24"/>
          <w:szCs w:val="24"/>
        </w:rPr>
        <w:t>已经就收购中广核贝谷科技有限公司（以下简称</w:t>
      </w:r>
      <w:r>
        <w:rPr>
          <w:bCs/>
          <w:sz w:val="24"/>
          <w:szCs w:val="24"/>
        </w:rPr>
        <w:t>“</w:t>
      </w:r>
      <w:r>
        <w:rPr>
          <w:bCs/>
          <w:sz w:val="24"/>
          <w:szCs w:val="24"/>
        </w:rPr>
        <w:t>贝谷科技</w:t>
      </w:r>
      <w:r>
        <w:rPr>
          <w:bCs/>
          <w:sz w:val="24"/>
          <w:szCs w:val="24"/>
        </w:rPr>
        <w:t>”</w:t>
      </w:r>
      <w:r>
        <w:rPr>
          <w:bCs/>
          <w:sz w:val="24"/>
          <w:szCs w:val="24"/>
        </w:rPr>
        <w:t>）股权事项公告了《中广核核技术发展股份有限公司发行股份及支付现金购买资产暨关联交易报告书（草案）》，原交易方案为中广核技拟通过发行股份及支付现金的方式，向中广核核技术应用有限公司（以下简称</w:t>
      </w:r>
      <w:r>
        <w:rPr>
          <w:bCs/>
          <w:sz w:val="24"/>
          <w:szCs w:val="24"/>
        </w:rPr>
        <w:t>“</w:t>
      </w:r>
      <w:r>
        <w:rPr>
          <w:bCs/>
          <w:sz w:val="24"/>
          <w:szCs w:val="24"/>
        </w:rPr>
        <w:t>核技术公司</w:t>
      </w:r>
      <w:r>
        <w:rPr>
          <w:bCs/>
          <w:sz w:val="24"/>
          <w:szCs w:val="24"/>
        </w:rPr>
        <w:t>”</w:t>
      </w:r>
      <w:r>
        <w:rPr>
          <w:bCs/>
          <w:sz w:val="24"/>
          <w:szCs w:val="24"/>
        </w:rPr>
        <w:t>）、中广核久源（成都）科技有限公司（以下简称</w:t>
      </w:r>
      <w:r>
        <w:rPr>
          <w:bCs/>
          <w:sz w:val="24"/>
          <w:szCs w:val="24"/>
        </w:rPr>
        <w:t>“</w:t>
      </w:r>
      <w:r>
        <w:rPr>
          <w:bCs/>
          <w:sz w:val="24"/>
          <w:szCs w:val="24"/>
        </w:rPr>
        <w:t>成都久源</w:t>
      </w:r>
      <w:r>
        <w:rPr>
          <w:bCs/>
          <w:sz w:val="24"/>
          <w:szCs w:val="24"/>
        </w:rPr>
        <w:t>”</w:t>
      </w:r>
      <w:r>
        <w:rPr>
          <w:bCs/>
          <w:sz w:val="24"/>
          <w:szCs w:val="24"/>
        </w:rPr>
        <w:t>）和吉安市云科通科技合伙企业（有限合伙）（以下简称</w:t>
      </w:r>
      <w:r>
        <w:rPr>
          <w:bCs/>
          <w:sz w:val="24"/>
          <w:szCs w:val="24"/>
        </w:rPr>
        <w:t>“</w:t>
      </w:r>
      <w:r>
        <w:rPr>
          <w:bCs/>
          <w:sz w:val="24"/>
          <w:szCs w:val="24"/>
        </w:rPr>
        <w:t>云科通</w:t>
      </w:r>
      <w:r>
        <w:rPr>
          <w:bCs/>
          <w:sz w:val="24"/>
          <w:szCs w:val="24"/>
        </w:rPr>
        <w:t>”</w:t>
      </w:r>
      <w:r>
        <w:rPr>
          <w:bCs/>
          <w:sz w:val="24"/>
          <w:szCs w:val="24"/>
        </w:rPr>
        <w:t>）购买贝谷科技</w:t>
      </w:r>
      <w:r>
        <w:rPr>
          <w:bCs/>
          <w:sz w:val="24"/>
          <w:szCs w:val="24"/>
        </w:rPr>
        <w:t>100%</w:t>
      </w:r>
      <w:r>
        <w:rPr>
          <w:bCs/>
          <w:sz w:val="24"/>
          <w:szCs w:val="24"/>
        </w:rPr>
        <w:t>股权，其中核技术公司所获对价全部为股份，</w:t>
      </w:r>
      <w:r>
        <w:rPr>
          <w:rFonts w:hint="eastAsia"/>
          <w:bCs/>
          <w:sz w:val="24"/>
          <w:szCs w:val="24"/>
        </w:rPr>
        <w:t>成都</w:t>
      </w:r>
      <w:r>
        <w:rPr>
          <w:bCs/>
          <w:sz w:val="24"/>
          <w:szCs w:val="24"/>
        </w:rPr>
        <w:t>久源所获对价全部为现金，云科通所获对价为</w:t>
      </w:r>
      <w:r>
        <w:rPr>
          <w:bCs/>
          <w:sz w:val="24"/>
          <w:szCs w:val="24"/>
        </w:rPr>
        <w:t>50%</w:t>
      </w:r>
      <w:r>
        <w:rPr>
          <w:bCs/>
          <w:sz w:val="24"/>
          <w:szCs w:val="24"/>
        </w:rPr>
        <w:t>股份和</w:t>
      </w:r>
      <w:r>
        <w:rPr>
          <w:bCs/>
          <w:sz w:val="24"/>
          <w:szCs w:val="24"/>
        </w:rPr>
        <w:t>50%</w:t>
      </w:r>
      <w:r>
        <w:rPr>
          <w:bCs/>
          <w:sz w:val="24"/>
          <w:szCs w:val="24"/>
        </w:rPr>
        <w:t>现金。交易完成后，中广核技将持有贝谷科技</w:t>
      </w:r>
      <w:r>
        <w:rPr>
          <w:bCs/>
          <w:sz w:val="24"/>
          <w:szCs w:val="24"/>
        </w:rPr>
        <w:t>100%</w:t>
      </w:r>
      <w:r>
        <w:rPr>
          <w:bCs/>
          <w:sz w:val="24"/>
          <w:szCs w:val="24"/>
        </w:rPr>
        <w:t>股权。</w:t>
      </w:r>
    </w:p>
    <w:p w14:paraId="71F77509" w14:textId="77777777" w:rsidR="00000000" w:rsidRDefault="00000000">
      <w:pPr>
        <w:spacing w:before="50" w:after="50" w:line="360" w:lineRule="auto"/>
        <w:ind w:firstLineChars="200" w:firstLine="480"/>
        <w:rPr>
          <w:bCs/>
          <w:sz w:val="24"/>
          <w:szCs w:val="24"/>
        </w:rPr>
      </w:pPr>
      <w:r>
        <w:rPr>
          <w:bCs/>
          <w:sz w:val="24"/>
          <w:szCs w:val="24"/>
        </w:rPr>
        <w:t>经交易各方协商，本次交易方案拟调整为：</w:t>
      </w:r>
    </w:p>
    <w:p w14:paraId="3D51DD52" w14:textId="77777777" w:rsidR="00000000" w:rsidRDefault="00000000">
      <w:pPr>
        <w:spacing w:before="50" w:after="50" w:line="360" w:lineRule="auto"/>
        <w:ind w:firstLineChars="200" w:firstLine="480"/>
        <w:rPr>
          <w:bCs/>
          <w:sz w:val="24"/>
          <w:szCs w:val="24"/>
        </w:rPr>
      </w:pPr>
      <w:r>
        <w:rPr>
          <w:bCs/>
          <w:sz w:val="24"/>
          <w:szCs w:val="24"/>
        </w:rPr>
        <w:lastRenderedPageBreak/>
        <w:t>中广核技以发行股份及支付现金方式购买核技术公司所持贝谷科技</w:t>
      </w:r>
      <w:r>
        <w:rPr>
          <w:bCs/>
          <w:sz w:val="24"/>
          <w:szCs w:val="24"/>
        </w:rPr>
        <w:t>30%</w:t>
      </w:r>
      <w:r>
        <w:rPr>
          <w:bCs/>
          <w:sz w:val="24"/>
          <w:szCs w:val="24"/>
        </w:rPr>
        <w:t>的股权，以发行股份及支付现金方式购买云科通所持贝谷科技</w:t>
      </w:r>
      <w:r>
        <w:rPr>
          <w:bCs/>
          <w:sz w:val="24"/>
          <w:szCs w:val="24"/>
        </w:rPr>
        <w:t>49%</w:t>
      </w:r>
      <w:r>
        <w:rPr>
          <w:bCs/>
          <w:sz w:val="24"/>
          <w:szCs w:val="24"/>
        </w:rPr>
        <w:t>的股权，交易对价均为</w:t>
      </w:r>
      <w:r>
        <w:rPr>
          <w:bCs/>
          <w:sz w:val="24"/>
          <w:szCs w:val="24"/>
        </w:rPr>
        <w:t>30%</w:t>
      </w:r>
      <w:r>
        <w:rPr>
          <w:bCs/>
          <w:sz w:val="24"/>
          <w:szCs w:val="24"/>
        </w:rPr>
        <w:t>的现金和</w:t>
      </w:r>
      <w:r>
        <w:rPr>
          <w:bCs/>
          <w:sz w:val="24"/>
          <w:szCs w:val="24"/>
        </w:rPr>
        <w:t>70%</w:t>
      </w:r>
      <w:r>
        <w:rPr>
          <w:bCs/>
          <w:sz w:val="24"/>
          <w:szCs w:val="24"/>
        </w:rPr>
        <w:t>的股份；同时，中广核技拟向核技术公司发行股份募集配套资金，</w:t>
      </w:r>
      <w:bookmarkStart w:id="0" w:name="_Hlk141310775"/>
      <w:r>
        <w:rPr>
          <w:bCs/>
          <w:sz w:val="24"/>
          <w:szCs w:val="24"/>
        </w:rPr>
        <w:t>募集资金总额不超过人民币</w:t>
      </w:r>
      <w:r>
        <w:rPr>
          <w:bCs/>
          <w:sz w:val="24"/>
          <w:szCs w:val="24"/>
        </w:rPr>
        <w:t>30,000</w:t>
      </w:r>
      <w:r>
        <w:rPr>
          <w:bCs/>
          <w:sz w:val="24"/>
          <w:szCs w:val="24"/>
        </w:rPr>
        <w:t>万元，发行股份数量不超过本次交易前上市公司总股本的</w:t>
      </w:r>
      <w:r>
        <w:rPr>
          <w:bCs/>
          <w:sz w:val="24"/>
          <w:szCs w:val="24"/>
        </w:rPr>
        <w:t>30%</w:t>
      </w:r>
      <w:bookmarkEnd w:id="0"/>
      <w:r>
        <w:rPr>
          <w:bCs/>
          <w:sz w:val="24"/>
          <w:szCs w:val="24"/>
        </w:rPr>
        <w:t>（以下简称</w:t>
      </w:r>
      <w:r>
        <w:rPr>
          <w:bCs/>
          <w:sz w:val="24"/>
          <w:szCs w:val="24"/>
        </w:rPr>
        <w:t>“</w:t>
      </w:r>
      <w:r>
        <w:rPr>
          <w:bCs/>
          <w:sz w:val="24"/>
          <w:szCs w:val="24"/>
        </w:rPr>
        <w:t>本次交易</w:t>
      </w:r>
      <w:r>
        <w:rPr>
          <w:bCs/>
          <w:sz w:val="24"/>
          <w:szCs w:val="24"/>
        </w:rPr>
        <w:t>”</w:t>
      </w:r>
      <w:r>
        <w:rPr>
          <w:bCs/>
          <w:sz w:val="24"/>
          <w:szCs w:val="24"/>
        </w:rPr>
        <w:t>）。本次交易完成后，中广核技将持有贝谷科技</w:t>
      </w:r>
      <w:r>
        <w:rPr>
          <w:bCs/>
          <w:sz w:val="24"/>
          <w:szCs w:val="24"/>
        </w:rPr>
        <w:t>79%</w:t>
      </w:r>
      <w:r>
        <w:rPr>
          <w:bCs/>
          <w:sz w:val="24"/>
          <w:szCs w:val="24"/>
        </w:rPr>
        <w:t>的股权。具体调整内容如下：</w:t>
      </w:r>
    </w:p>
    <w:tbl>
      <w:tblPr>
        <w:tblW w:w="894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gridCol w:w="3560"/>
        <w:gridCol w:w="3260"/>
      </w:tblGrid>
      <w:tr w:rsidR="00000000" w14:paraId="01DAA2B6" w14:textId="77777777">
        <w:trPr>
          <w:tblHeader/>
          <w:jc w:val="center"/>
        </w:trPr>
        <w:tc>
          <w:tcPr>
            <w:tcW w:w="2121" w:type="dxa"/>
            <w:vAlign w:val="center"/>
          </w:tcPr>
          <w:p w14:paraId="08A460CB" w14:textId="77777777" w:rsidR="00000000" w:rsidRDefault="00000000">
            <w:pPr>
              <w:widowControl/>
              <w:jc w:val="center"/>
              <w:rPr>
                <w:b/>
                <w:bCs/>
                <w:szCs w:val="28"/>
                <w:lang w:bidi="ar"/>
              </w:rPr>
            </w:pPr>
            <w:r>
              <w:rPr>
                <w:b/>
                <w:bCs/>
                <w:szCs w:val="28"/>
                <w:lang w:bidi="ar"/>
              </w:rPr>
              <w:t>调整内容</w:t>
            </w:r>
          </w:p>
        </w:tc>
        <w:tc>
          <w:tcPr>
            <w:tcW w:w="3560" w:type="dxa"/>
            <w:vAlign w:val="center"/>
          </w:tcPr>
          <w:p w14:paraId="25220298" w14:textId="77777777" w:rsidR="00000000" w:rsidRDefault="00000000">
            <w:pPr>
              <w:widowControl/>
              <w:jc w:val="center"/>
              <w:rPr>
                <w:b/>
                <w:bCs/>
                <w:szCs w:val="28"/>
              </w:rPr>
            </w:pPr>
            <w:r>
              <w:rPr>
                <w:b/>
                <w:bCs/>
                <w:szCs w:val="28"/>
                <w:lang w:bidi="ar"/>
              </w:rPr>
              <w:t>调整前</w:t>
            </w:r>
          </w:p>
        </w:tc>
        <w:tc>
          <w:tcPr>
            <w:tcW w:w="3260" w:type="dxa"/>
            <w:vAlign w:val="center"/>
          </w:tcPr>
          <w:p w14:paraId="24CA5990" w14:textId="77777777" w:rsidR="00000000" w:rsidRDefault="00000000">
            <w:pPr>
              <w:widowControl/>
              <w:jc w:val="center"/>
              <w:rPr>
                <w:b/>
                <w:bCs/>
                <w:szCs w:val="28"/>
                <w:lang w:bidi="ar"/>
              </w:rPr>
            </w:pPr>
            <w:r>
              <w:rPr>
                <w:b/>
                <w:bCs/>
                <w:szCs w:val="28"/>
                <w:lang w:bidi="ar"/>
              </w:rPr>
              <w:t>调整后</w:t>
            </w:r>
          </w:p>
        </w:tc>
      </w:tr>
      <w:tr w:rsidR="00000000" w14:paraId="16388410" w14:textId="77777777">
        <w:trPr>
          <w:trHeight w:val="418"/>
          <w:jc w:val="center"/>
        </w:trPr>
        <w:tc>
          <w:tcPr>
            <w:tcW w:w="2121" w:type="dxa"/>
            <w:vAlign w:val="center"/>
          </w:tcPr>
          <w:p w14:paraId="3BA0D8D7" w14:textId="77777777" w:rsidR="00000000" w:rsidRDefault="00000000">
            <w:pPr>
              <w:widowControl/>
              <w:jc w:val="center"/>
              <w:rPr>
                <w:b/>
                <w:bCs/>
                <w:szCs w:val="28"/>
                <w:lang w:bidi="ar"/>
              </w:rPr>
            </w:pPr>
            <w:r>
              <w:rPr>
                <w:b/>
                <w:bCs/>
                <w:szCs w:val="28"/>
                <w:lang w:bidi="ar"/>
              </w:rPr>
              <w:t>标的资产</w:t>
            </w:r>
          </w:p>
        </w:tc>
        <w:tc>
          <w:tcPr>
            <w:tcW w:w="3560" w:type="dxa"/>
            <w:vAlign w:val="center"/>
          </w:tcPr>
          <w:p w14:paraId="24AB76D8" w14:textId="77777777" w:rsidR="00000000" w:rsidRDefault="00000000">
            <w:pPr>
              <w:widowControl/>
              <w:jc w:val="center"/>
              <w:rPr>
                <w:szCs w:val="28"/>
                <w:lang w:bidi="ar"/>
              </w:rPr>
            </w:pPr>
            <w:r>
              <w:rPr>
                <w:szCs w:val="28"/>
                <w:lang w:bidi="ar"/>
              </w:rPr>
              <w:t>贝谷科技</w:t>
            </w:r>
            <w:r>
              <w:rPr>
                <w:szCs w:val="28"/>
                <w:lang w:bidi="ar"/>
              </w:rPr>
              <w:t>100%</w:t>
            </w:r>
            <w:r>
              <w:rPr>
                <w:szCs w:val="28"/>
                <w:lang w:bidi="ar"/>
              </w:rPr>
              <w:t>股权</w:t>
            </w:r>
          </w:p>
        </w:tc>
        <w:tc>
          <w:tcPr>
            <w:tcW w:w="3260" w:type="dxa"/>
            <w:vAlign w:val="center"/>
          </w:tcPr>
          <w:p w14:paraId="60FAF291" w14:textId="77777777" w:rsidR="00000000" w:rsidRDefault="00000000">
            <w:pPr>
              <w:widowControl/>
              <w:jc w:val="center"/>
              <w:rPr>
                <w:szCs w:val="28"/>
                <w:lang w:bidi="ar"/>
              </w:rPr>
            </w:pPr>
            <w:r>
              <w:rPr>
                <w:szCs w:val="28"/>
                <w:lang w:bidi="ar"/>
              </w:rPr>
              <w:t>贝谷科技</w:t>
            </w:r>
            <w:r>
              <w:rPr>
                <w:szCs w:val="28"/>
                <w:lang w:bidi="ar"/>
              </w:rPr>
              <w:t>79%</w:t>
            </w:r>
            <w:r>
              <w:rPr>
                <w:szCs w:val="28"/>
                <w:lang w:bidi="ar"/>
              </w:rPr>
              <w:t>股权</w:t>
            </w:r>
          </w:p>
        </w:tc>
      </w:tr>
      <w:tr w:rsidR="00000000" w14:paraId="5C58F5C5" w14:textId="77777777">
        <w:trPr>
          <w:jc w:val="center"/>
        </w:trPr>
        <w:tc>
          <w:tcPr>
            <w:tcW w:w="2121" w:type="dxa"/>
            <w:vAlign w:val="center"/>
          </w:tcPr>
          <w:p w14:paraId="112F160F" w14:textId="77777777" w:rsidR="00000000" w:rsidRDefault="00000000">
            <w:pPr>
              <w:widowControl/>
              <w:jc w:val="center"/>
              <w:rPr>
                <w:b/>
                <w:bCs/>
                <w:szCs w:val="28"/>
                <w:lang w:bidi="ar"/>
              </w:rPr>
            </w:pPr>
            <w:r>
              <w:rPr>
                <w:b/>
                <w:bCs/>
                <w:szCs w:val="28"/>
                <w:lang w:bidi="ar"/>
              </w:rPr>
              <w:t>定价基准日</w:t>
            </w:r>
          </w:p>
        </w:tc>
        <w:tc>
          <w:tcPr>
            <w:tcW w:w="3560" w:type="dxa"/>
            <w:vAlign w:val="center"/>
          </w:tcPr>
          <w:p w14:paraId="566DF26C" w14:textId="77777777" w:rsidR="00000000" w:rsidRDefault="00000000">
            <w:pPr>
              <w:widowControl/>
              <w:jc w:val="center"/>
              <w:rPr>
                <w:szCs w:val="28"/>
                <w:lang w:bidi="ar"/>
              </w:rPr>
            </w:pPr>
            <w:r>
              <w:rPr>
                <w:szCs w:val="28"/>
                <w:lang w:bidi="ar"/>
              </w:rPr>
              <w:t>第</w:t>
            </w:r>
            <w:r>
              <w:rPr>
                <w:rFonts w:hint="eastAsia"/>
                <w:szCs w:val="28"/>
                <w:lang w:bidi="ar"/>
              </w:rPr>
              <w:t>九</w:t>
            </w:r>
            <w:r>
              <w:rPr>
                <w:szCs w:val="28"/>
                <w:lang w:bidi="ar"/>
              </w:rPr>
              <w:t>届董事会第</w:t>
            </w:r>
            <w:r>
              <w:rPr>
                <w:rFonts w:hint="eastAsia"/>
                <w:szCs w:val="28"/>
                <w:lang w:bidi="ar"/>
              </w:rPr>
              <w:t>二</w:t>
            </w:r>
            <w:r>
              <w:rPr>
                <w:szCs w:val="28"/>
                <w:lang w:bidi="ar"/>
              </w:rPr>
              <w:t>十八次会议决议公告日</w:t>
            </w:r>
          </w:p>
        </w:tc>
        <w:tc>
          <w:tcPr>
            <w:tcW w:w="3260" w:type="dxa"/>
            <w:vAlign w:val="center"/>
          </w:tcPr>
          <w:p w14:paraId="52FA032F" w14:textId="77777777" w:rsidR="00000000" w:rsidRDefault="00000000">
            <w:pPr>
              <w:widowControl/>
              <w:jc w:val="center"/>
              <w:rPr>
                <w:szCs w:val="28"/>
                <w:lang w:bidi="ar"/>
              </w:rPr>
            </w:pPr>
            <w:r>
              <w:rPr>
                <w:szCs w:val="28"/>
                <w:lang w:bidi="ar"/>
              </w:rPr>
              <w:t>第十届董事会第</w:t>
            </w:r>
            <w:r>
              <w:rPr>
                <w:rFonts w:hint="eastAsia"/>
                <w:szCs w:val="28"/>
                <w:lang w:bidi="ar"/>
              </w:rPr>
              <w:t>九</w:t>
            </w:r>
            <w:r>
              <w:rPr>
                <w:szCs w:val="28"/>
                <w:lang w:bidi="ar"/>
              </w:rPr>
              <w:t>次会议决议公告日</w:t>
            </w:r>
          </w:p>
        </w:tc>
      </w:tr>
      <w:tr w:rsidR="00000000" w14:paraId="1510227B" w14:textId="77777777">
        <w:trPr>
          <w:jc w:val="center"/>
        </w:trPr>
        <w:tc>
          <w:tcPr>
            <w:tcW w:w="2121" w:type="dxa"/>
            <w:vAlign w:val="center"/>
          </w:tcPr>
          <w:p w14:paraId="5BD95C48" w14:textId="77777777" w:rsidR="00000000" w:rsidRDefault="00000000">
            <w:pPr>
              <w:widowControl/>
              <w:jc w:val="center"/>
              <w:rPr>
                <w:b/>
                <w:bCs/>
                <w:szCs w:val="28"/>
                <w:lang w:bidi="ar"/>
              </w:rPr>
            </w:pPr>
            <w:r>
              <w:rPr>
                <w:b/>
                <w:bCs/>
                <w:szCs w:val="28"/>
                <w:lang w:bidi="ar"/>
              </w:rPr>
              <w:t>定价原则</w:t>
            </w:r>
          </w:p>
        </w:tc>
        <w:tc>
          <w:tcPr>
            <w:tcW w:w="3560" w:type="dxa"/>
            <w:vAlign w:val="center"/>
          </w:tcPr>
          <w:p w14:paraId="3CB62E91" w14:textId="77777777" w:rsidR="00000000" w:rsidRDefault="00000000">
            <w:pPr>
              <w:widowControl/>
              <w:jc w:val="center"/>
              <w:rPr>
                <w:szCs w:val="28"/>
                <w:lang w:bidi="ar"/>
              </w:rPr>
            </w:pPr>
            <w:r>
              <w:rPr>
                <w:szCs w:val="28"/>
                <w:lang w:bidi="ar"/>
              </w:rPr>
              <w:t>不低于定价基准日前</w:t>
            </w:r>
            <w:r>
              <w:rPr>
                <w:szCs w:val="28"/>
                <w:lang w:bidi="ar"/>
              </w:rPr>
              <w:t>20</w:t>
            </w:r>
            <w:r>
              <w:rPr>
                <w:szCs w:val="28"/>
                <w:lang w:bidi="ar"/>
              </w:rPr>
              <w:t>个交易日中广核技股票交易均价的</w:t>
            </w:r>
            <w:r>
              <w:rPr>
                <w:szCs w:val="28"/>
                <w:lang w:bidi="ar"/>
              </w:rPr>
              <w:t>90%</w:t>
            </w:r>
            <w:r>
              <w:rPr>
                <w:szCs w:val="28"/>
                <w:lang w:bidi="ar"/>
              </w:rPr>
              <w:t>。</w:t>
            </w:r>
          </w:p>
        </w:tc>
        <w:tc>
          <w:tcPr>
            <w:tcW w:w="3260" w:type="dxa"/>
            <w:vAlign w:val="center"/>
          </w:tcPr>
          <w:p w14:paraId="3425468B" w14:textId="77777777" w:rsidR="00000000" w:rsidRDefault="00000000">
            <w:pPr>
              <w:widowControl/>
              <w:jc w:val="center"/>
              <w:rPr>
                <w:szCs w:val="28"/>
                <w:lang w:bidi="ar"/>
              </w:rPr>
            </w:pPr>
            <w:r>
              <w:rPr>
                <w:szCs w:val="28"/>
                <w:lang w:bidi="ar"/>
              </w:rPr>
              <w:t>不低于定价基准日前</w:t>
            </w:r>
            <w:r>
              <w:rPr>
                <w:rFonts w:hint="eastAsia"/>
                <w:szCs w:val="28"/>
                <w:lang w:bidi="ar"/>
              </w:rPr>
              <w:t>2</w:t>
            </w:r>
            <w:r>
              <w:rPr>
                <w:szCs w:val="28"/>
                <w:lang w:bidi="ar"/>
              </w:rPr>
              <w:t>0</w:t>
            </w:r>
            <w:r>
              <w:rPr>
                <w:szCs w:val="28"/>
                <w:lang w:bidi="ar"/>
              </w:rPr>
              <w:t>个交易日中广核技股票交易均价的</w:t>
            </w:r>
            <w:r>
              <w:rPr>
                <w:szCs w:val="28"/>
                <w:lang w:bidi="ar"/>
              </w:rPr>
              <w:t>80%</w:t>
            </w:r>
            <w:r>
              <w:rPr>
                <w:szCs w:val="28"/>
                <w:lang w:bidi="ar"/>
              </w:rPr>
              <w:t>，且不低于中广核技最近一期经审计的每股净资产。</w:t>
            </w:r>
          </w:p>
        </w:tc>
      </w:tr>
      <w:tr w:rsidR="00000000" w14:paraId="3327072B" w14:textId="77777777">
        <w:trPr>
          <w:jc w:val="center"/>
        </w:trPr>
        <w:tc>
          <w:tcPr>
            <w:tcW w:w="2121" w:type="dxa"/>
            <w:vAlign w:val="center"/>
          </w:tcPr>
          <w:p w14:paraId="27079650" w14:textId="77777777" w:rsidR="00000000" w:rsidRDefault="00000000">
            <w:pPr>
              <w:widowControl/>
              <w:jc w:val="center"/>
              <w:rPr>
                <w:b/>
                <w:bCs/>
                <w:szCs w:val="28"/>
                <w:lang w:bidi="ar"/>
              </w:rPr>
            </w:pPr>
            <w:r>
              <w:rPr>
                <w:b/>
                <w:bCs/>
                <w:szCs w:val="28"/>
                <w:lang w:bidi="ar"/>
              </w:rPr>
              <w:t>发行价格</w:t>
            </w:r>
          </w:p>
        </w:tc>
        <w:tc>
          <w:tcPr>
            <w:tcW w:w="3560" w:type="dxa"/>
            <w:vAlign w:val="center"/>
          </w:tcPr>
          <w:p w14:paraId="691E356E" w14:textId="77777777" w:rsidR="00000000" w:rsidRDefault="00000000">
            <w:pPr>
              <w:widowControl/>
              <w:jc w:val="center"/>
              <w:rPr>
                <w:szCs w:val="28"/>
                <w:lang w:bidi="ar"/>
              </w:rPr>
            </w:pPr>
            <w:r>
              <w:rPr>
                <w:szCs w:val="28"/>
                <w:lang w:bidi="ar"/>
              </w:rPr>
              <w:t>7.8</w:t>
            </w:r>
            <w:r>
              <w:rPr>
                <w:rFonts w:hint="eastAsia"/>
                <w:szCs w:val="28"/>
                <w:lang w:bidi="ar"/>
              </w:rPr>
              <w:t>3</w:t>
            </w:r>
            <w:r>
              <w:rPr>
                <w:szCs w:val="28"/>
                <w:lang w:bidi="ar"/>
              </w:rPr>
              <w:t>元</w:t>
            </w:r>
            <w:r>
              <w:rPr>
                <w:szCs w:val="28"/>
                <w:lang w:bidi="ar"/>
              </w:rPr>
              <w:t>/</w:t>
            </w:r>
            <w:r>
              <w:rPr>
                <w:szCs w:val="28"/>
                <w:lang w:bidi="ar"/>
              </w:rPr>
              <w:t>股</w:t>
            </w:r>
          </w:p>
        </w:tc>
        <w:tc>
          <w:tcPr>
            <w:tcW w:w="3260" w:type="dxa"/>
            <w:vAlign w:val="center"/>
          </w:tcPr>
          <w:p w14:paraId="46F4A9E8" w14:textId="77777777" w:rsidR="00000000" w:rsidRDefault="00000000">
            <w:pPr>
              <w:widowControl/>
              <w:jc w:val="center"/>
              <w:rPr>
                <w:szCs w:val="28"/>
                <w:lang w:bidi="ar"/>
              </w:rPr>
            </w:pPr>
            <w:r>
              <w:rPr>
                <w:szCs w:val="28"/>
                <w:lang w:bidi="ar"/>
              </w:rPr>
              <w:t>6.69</w:t>
            </w:r>
            <w:r>
              <w:rPr>
                <w:szCs w:val="28"/>
                <w:lang w:bidi="ar"/>
              </w:rPr>
              <w:t>元</w:t>
            </w:r>
            <w:r>
              <w:rPr>
                <w:szCs w:val="28"/>
                <w:lang w:bidi="ar"/>
              </w:rPr>
              <w:t>/</w:t>
            </w:r>
            <w:r>
              <w:rPr>
                <w:szCs w:val="28"/>
                <w:lang w:bidi="ar"/>
              </w:rPr>
              <w:t>股</w:t>
            </w:r>
          </w:p>
        </w:tc>
      </w:tr>
      <w:tr w:rsidR="00000000" w14:paraId="56BFA1E0" w14:textId="77777777">
        <w:trPr>
          <w:jc w:val="center"/>
        </w:trPr>
        <w:tc>
          <w:tcPr>
            <w:tcW w:w="2121" w:type="dxa"/>
            <w:vAlign w:val="center"/>
          </w:tcPr>
          <w:p w14:paraId="7B4AC6F2" w14:textId="77777777" w:rsidR="00000000" w:rsidRDefault="00000000">
            <w:pPr>
              <w:widowControl/>
              <w:jc w:val="center"/>
              <w:rPr>
                <w:b/>
                <w:bCs/>
                <w:szCs w:val="28"/>
                <w:lang w:bidi="ar"/>
              </w:rPr>
            </w:pPr>
            <w:r>
              <w:rPr>
                <w:b/>
                <w:bCs/>
                <w:szCs w:val="28"/>
                <w:lang w:bidi="ar"/>
              </w:rPr>
              <w:t>对价支付方式</w:t>
            </w:r>
          </w:p>
        </w:tc>
        <w:tc>
          <w:tcPr>
            <w:tcW w:w="3560" w:type="dxa"/>
            <w:vAlign w:val="center"/>
          </w:tcPr>
          <w:p w14:paraId="7EBF394E" w14:textId="77777777" w:rsidR="00000000" w:rsidRDefault="00000000">
            <w:pPr>
              <w:widowControl/>
              <w:jc w:val="center"/>
              <w:rPr>
                <w:szCs w:val="28"/>
                <w:lang w:bidi="ar"/>
              </w:rPr>
            </w:pPr>
            <w:r>
              <w:rPr>
                <w:szCs w:val="28"/>
              </w:rPr>
              <w:t>以发行股份的方式向核技术公司购买贝谷科技</w:t>
            </w:r>
            <w:r>
              <w:rPr>
                <w:szCs w:val="28"/>
              </w:rPr>
              <w:t>30%</w:t>
            </w:r>
            <w:r>
              <w:rPr>
                <w:szCs w:val="28"/>
              </w:rPr>
              <w:t>股权，通过发行股份及支付现金方式向云科通购买贝谷科技</w:t>
            </w:r>
            <w:r>
              <w:rPr>
                <w:szCs w:val="28"/>
              </w:rPr>
              <w:t>49%</w:t>
            </w:r>
            <w:r>
              <w:rPr>
                <w:szCs w:val="28"/>
              </w:rPr>
              <w:t>股权（</w:t>
            </w:r>
            <w:r>
              <w:rPr>
                <w:szCs w:val="28"/>
              </w:rPr>
              <w:t>50%</w:t>
            </w:r>
            <w:r>
              <w:rPr>
                <w:szCs w:val="28"/>
              </w:rPr>
              <w:t>股份和</w:t>
            </w:r>
            <w:r>
              <w:rPr>
                <w:szCs w:val="28"/>
              </w:rPr>
              <w:t>50%</w:t>
            </w:r>
            <w:r>
              <w:rPr>
                <w:szCs w:val="28"/>
              </w:rPr>
              <w:t>现金）；通过支付现金方式向成都久源购买贝谷科技</w:t>
            </w:r>
            <w:r>
              <w:rPr>
                <w:szCs w:val="28"/>
              </w:rPr>
              <w:t>21%</w:t>
            </w:r>
            <w:r>
              <w:rPr>
                <w:szCs w:val="28"/>
              </w:rPr>
              <w:t>股权。</w:t>
            </w:r>
          </w:p>
        </w:tc>
        <w:tc>
          <w:tcPr>
            <w:tcW w:w="3260" w:type="dxa"/>
            <w:vAlign w:val="center"/>
          </w:tcPr>
          <w:p w14:paraId="09066E3C" w14:textId="77777777" w:rsidR="00000000" w:rsidRDefault="00000000">
            <w:pPr>
              <w:widowControl/>
              <w:jc w:val="center"/>
              <w:rPr>
                <w:szCs w:val="28"/>
                <w:lang w:bidi="ar"/>
              </w:rPr>
            </w:pPr>
            <w:r>
              <w:rPr>
                <w:szCs w:val="28"/>
              </w:rPr>
              <w:t>以发行股份及支付现金的方式向核技术公司购买贝谷科技</w:t>
            </w:r>
            <w:r>
              <w:rPr>
                <w:szCs w:val="28"/>
              </w:rPr>
              <w:t>30%</w:t>
            </w:r>
            <w:r>
              <w:rPr>
                <w:szCs w:val="28"/>
              </w:rPr>
              <w:t>股权，并通过发行股份及支付现金方式向云科通购买贝谷科技</w:t>
            </w:r>
            <w:r>
              <w:rPr>
                <w:szCs w:val="28"/>
              </w:rPr>
              <w:t>49%</w:t>
            </w:r>
            <w:r>
              <w:rPr>
                <w:szCs w:val="28"/>
              </w:rPr>
              <w:t>股权（均为</w:t>
            </w:r>
            <w:r>
              <w:rPr>
                <w:szCs w:val="28"/>
              </w:rPr>
              <w:t>70%</w:t>
            </w:r>
            <w:r>
              <w:rPr>
                <w:szCs w:val="28"/>
              </w:rPr>
              <w:t>股份和</w:t>
            </w:r>
            <w:r>
              <w:rPr>
                <w:szCs w:val="28"/>
              </w:rPr>
              <w:t>30%</w:t>
            </w:r>
            <w:r>
              <w:rPr>
                <w:szCs w:val="28"/>
              </w:rPr>
              <w:t>现金）。</w:t>
            </w:r>
          </w:p>
        </w:tc>
      </w:tr>
      <w:tr w:rsidR="00000000" w14:paraId="4D9C7647" w14:textId="77777777">
        <w:trPr>
          <w:jc w:val="center"/>
        </w:trPr>
        <w:tc>
          <w:tcPr>
            <w:tcW w:w="2121" w:type="dxa"/>
            <w:vAlign w:val="center"/>
          </w:tcPr>
          <w:p w14:paraId="10B2036B" w14:textId="77777777" w:rsidR="00000000" w:rsidRDefault="00000000">
            <w:pPr>
              <w:widowControl/>
              <w:jc w:val="center"/>
              <w:rPr>
                <w:b/>
                <w:bCs/>
                <w:szCs w:val="28"/>
                <w:lang w:bidi="ar"/>
              </w:rPr>
            </w:pPr>
            <w:r>
              <w:rPr>
                <w:b/>
                <w:bCs/>
                <w:szCs w:val="28"/>
                <w:lang w:bidi="ar"/>
              </w:rPr>
              <w:t>募集资金认购方</w:t>
            </w:r>
          </w:p>
        </w:tc>
        <w:tc>
          <w:tcPr>
            <w:tcW w:w="3560" w:type="dxa"/>
            <w:vAlign w:val="center"/>
          </w:tcPr>
          <w:p w14:paraId="1839C8B6" w14:textId="77777777" w:rsidR="00000000" w:rsidRDefault="00000000">
            <w:pPr>
              <w:widowControl/>
              <w:jc w:val="center"/>
              <w:rPr>
                <w:szCs w:val="28"/>
                <w:lang w:bidi="ar"/>
              </w:rPr>
            </w:pPr>
            <w:r>
              <w:rPr>
                <w:szCs w:val="28"/>
                <w:lang w:bidi="ar"/>
              </w:rPr>
              <w:t>无</w:t>
            </w:r>
          </w:p>
        </w:tc>
        <w:tc>
          <w:tcPr>
            <w:tcW w:w="3260" w:type="dxa"/>
            <w:vAlign w:val="center"/>
          </w:tcPr>
          <w:p w14:paraId="7BD5A15D" w14:textId="77777777" w:rsidR="00000000" w:rsidRDefault="00000000">
            <w:pPr>
              <w:widowControl/>
              <w:jc w:val="center"/>
              <w:rPr>
                <w:szCs w:val="28"/>
                <w:lang w:bidi="ar"/>
              </w:rPr>
            </w:pPr>
            <w:r>
              <w:rPr>
                <w:szCs w:val="28"/>
              </w:rPr>
              <w:t>核技术公司</w:t>
            </w:r>
          </w:p>
        </w:tc>
      </w:tr>
      <w:tr w:rsidR="00000000" w14:paraId="7C37B647" w14:textId="77777777">
        <w:trPr>
          <w:jc w:val="center"/>
        </w:trPr>
        <w:tc>
          <w:tcPr>
            <w:tcW w:w="2121" w:type="dxa"/>
            <w:vAlign w:val="center"/>
          </w:tcPr>
          <w:p w14:paraId="067267A0" w14:textId="77777777" w:rsidR="00000000" w:rsidRDefault="00000000">
            <w:pPr>
              <w:widowControl/>
              <w:jc w:val="center"/>
              <w:rPr>
                <w:b/>
                <w:bCs/>
                <w:szCs w:val="28"/>
                <w:lang w:bidi="ar"/>
              </w:rPr>
            </w:pPr>
            <w:r>
              <w:rPr>
                <w:b/>
                <w:bCs/>
                <w:szCs w:val="28"/>
                <w:lang w:bidi="ar"/>
              </w:rPr>
              <w:t>募集资金用途</w:t>
            </w:r>
          </w:p>
        </w:tc>
        <w:tc>
          <w:tcPr>
            <w:tcW w:w="3560" w:type="dxa"/>
            <w:vAlign w:val="center"/>
          </w:tcPr>
          <w:p w14:paraId="6DFE12D4" w14:textId="77777777" w:rsidR="00000000" w:rsidRDefault="00000000">
            <w:pPr>
              <w:widowControl/>
              <w:jc w:val="center"/>
              <w:rPr>
                <w:szCs w:val="28"/>
                <w:lang w:bidi="ar"/>
              </w:rPr>
            </w:pPr>
            <w:r>
              <w:rPr>
                <w:szCs w:val="28"/>
                <w:lang w:bidi="ar"/>
              </w:rPr>
              <w:t>无</w:t>
            </w:r>
          </w:p>
        </w:tc>
        <w:tc>
          <w:tcPr>
            <w:tcW w:w="3260" w:type="dxa"/>
            <w:vAlign w:val="center"/>
          </w:tcPr>
          <w:p w14:paraId="47254793" w14:textId="77777777" w:rsidR="00000000" w:rsidRDefault="00000000">
            <w:pPr>
              <w:widowControl/>
              <w:jc w:val="center"/>
              <w:rPr>
                <w:szCs w:val="28"/>
                <w:lang w:bidi="ar"/>
              </w:rPr>
            </w:pPr>
            <w:r>
              <w:rPr>
                <w:szCs w:val="28"/>
              </w:rPr>
              <w:t>用于支付本次交易的现金对价、支付交易税费与中介费用、补充流动资金和</w:t>
            </w:r>
            <w:r>
              <w:rPr>
                <w:szCs w:val="28"/>
              </w:rPr>
              <w:t>/</w:t>
            </w:r>
            <w:r>
              <w:rPr>
                <w:szCs w:val="28"/>
              </w:rPr>
              <w:t>或偿还有息债务等</w:t>
            </w:r>
          </w:p>
        </w:tc>
      </w:tr>
    </w:tbl>
    <w:p w14:paraId="0058C6DF"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68D1FCE6"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5AE003FB" w14:textId="77777777" w:rsidR="00000000" w:rsidRDefault="00000000">
      <w:pPr>
        <w:spacing w:before="50" w:after="50" w:line="360" w:lineRule="auto"/>
        <w:ind w:firstLineChars="200" w:firstLine="480"/>
        <w:rPr>
          <w:bCs/>
          <w:sz w:val="24"/>
          <w:szCs w:val="24"/>
        </w:rPr>
      </w:pPr>
      <w:r>
        <w:rPr>
          <w:bCs/>
          <w:sz w:val="24"/>
          <w:szCs w:val="24"/>
        </w:rPr>
        <w:t>表决结果：通过。</w:t>
      </w:r>
    </w:p>
    <w:p w14:paraId="5F05A925" w14:textId="77777777" w:rsidR="00000000" w:rsidRDefault="00000000">
      <w:pPr>
        <w:spacing w:before="50" w:after="50" w:line="360" w:lineRule="auto"/>
        <w:ind w:firstLineChars="200" w:firstLine="480"/>
        <w:rPr>
          <w:bCs/>
          <w:sz w:val="24"/>
          <w:szCs w:val="24"/>
        </w:rPr>
      </w:pPr>
      <w:r>
        <w:rPr>
          <w:bCs/>
          <w:sz w:val="24"/>
          <w:szCs w:val="24"/>
        </w:rPr>
        <w:t>本议案需提交公司股东大会审议。</w:t>
      </w:r>
    </w:p>
    <w:p w14:paraId="7736DF08" w14:textId="77777777" w:rsidR="00000000" w:rsidRDefault="00000000">
      <w:pPr>
        <w:spacing w:before="50" w:after="50" w:line="360" w:lineRule="auto"/>
        <w:ind w:firstLineChars="200" w:firstLine="482"/>
        <w:rPr>
          <w:b/>
          <w:sz w:val="24"/>
          <w:szCs w:val="24"/>
        </w:rPr>
      </w:pPr>
      <w:r>
        <w:rPr>
          <w:b/>
          <w:sz w:val="24"/>
          <w:szCs w:val="24"/>
        </w:rPr>
        <w:t>（二）审议通过《关于本次交易方案调整属于重大调整的议案》</w:t>
      </w:r>
    </w:p>
    <w:p w14:paraId="0F173A02" w14:textId="77777777" w:rsidR="00000000" w:rsidRDefault="00000000">
      <w:pPr>
        <w:spacing w:before="50" w:after="50" w:line="360" w:lineRule="auto"/>
        <w:ind w:firstLineChars="200" w:firstLine="480"/>
        <w:rPr>
          <w:sz w:val="24"/>
        </w:rPr>
      </w:pPr>
      <w:r>
        <w:rPr>
          <w:sz w:val="24"/>
        </w:rPr>
        <w:t>根据中国证券监督管理委员会</w:t>
      </w:r>
      <w:r>
        <w:rPr>
          <w:rFonts w:hint="eastAsia"/>
          <w:sz w:val="24"/>
        </w:rPr>
        <w:t>（以下简称“中国证监会”）</w:t>
      </w:r>
      <w:r>
        <w:rPr>
          <w:sz w:val="24"/>
        </w:rPr>
        <w:t>于</w:t>
      </w:r>
      <w:r>
        <w:rPr>
          <w:sz w:val="24"/>
        </w:rPr>
        <w:t>2023</w:t>
      </w:r>
      <w:r>
        <w:rPr>
          <w:sz w:val="24"/>
        </w:rPr>
        <w:t>年</w:t>
      </w:r>
      <w:r>
        <w:rPr>
          <w:sz w:val="24"/>
        </w:rPr>
        <w:t>2</w:t>
      </w:r>
      <w:r>
        <w:rPr>
          <w:sz w:val="24"/>
        </w:rPr>
        <w:t>月</w:t>
      </w:r>
      <w:r>
        <w:rPr>
          <w:sz w:val="24"/>
        </w:rPr>
        <w:t>17</w:t>
      </w:r>
      <w:r>
        <w:rPr>
          <w:sz w:val="24"/>
        </w:rPr>
        <w:t>日发布的《</w:t>
      </w:r>
      <w:r>
        <w:rPr>
          <w:sz w:val="24"/>
        </w:rPr>
        <w:t>&lt;</w:t>
      </w:r>
      <w:r>
        <w:rPr>
          <w:sz w:val="24"/>
        </w:rPr>
        <w:t>上市公司重大资产重组管理办法</w:t>
      </w:r>
      <w:r>
        <w:rPr>
          <w:sz w:val="24"/>
        </w:rPr>
        <w:t>&gt;</w:t>
      </w:r>
      <w:r>
        <w:rPr>
          <w:sz w:val="24"/>
        </w:rPr>
        <w:t>第二十九条、第四十五条的适用意见</w:t>
      </w:r>
      <w:r>
        <w:rPr>
          <w:sz w:val="24"/>
        </w:rPr>
        <w:t>——</w:t>
      </w:r>
      <w:r>
        <w:rPr>
          <w:sz w:val="24"/>
        </w:rPr>
        <w:t>证券期货法律适用意见第</w:t>
      </w:r>
      <w:r>
        <w:rPr>
          <w:sz w:val="24"/>
        </w:rPr>
        <w:t>15</w:t>
      </w:r>
      <w:r>
        <w:rPr>
          <w:sz w:val="24"/>
        </w:rPr>
        <w:t>号》的规定，本次</w:t>
      </w:r>
      <w:r>
        <w:rPr>
          <w:rFonts w:hint="eastAsia"/>
          <w:sz w:val="24"/>
        </w:rPr>
        <w:t>交易</w:t>
      </w:r>
      <w:r>
        <w:rPr>
          <w:sz w:val="24"/>
        </w:rPr>
        <w:t>方案较前次方案的调整，因交易对方变更，涉及交易标的的变更占比超过百分之二十，且本次方案同时涉及新增配套募集资金，根据前述规定，本次方案调整应视为构成对重组</w:t>
      </w:r>
      <w:r>
        <w:rPr>
          <w:sz w:val="24"/>
        </w:rPr>
        <w:lastRenderedPageBreak/>
        <w:t>方案重大调整。</w:t>
      </w:r>
      <w:r>
        <w:rPr>
          <w:bCs/>
          <w:sz w:val="24"/>
          <w:szCs w:val="24"/>
        </w:rPr>
        <w:t>具体内容详见与本公告同日发布的</w:t>
      </w:r>
      <w:r>
        <w:rPr>
          <w:rFonts w:hint="eastAsia"/>
          <w:bCs/>
          <w:sz w:val="24"/>
          <w:szCs w:val="24"/>
        </w:rPr>
        <w:t>《</w:t>
      </w:r>
      <w:r>
        <w:rPr>
          <w:rFonts w:hint="eastAsia"/>
          <w:sz w:val="24"/>
        </w:rPr>
        <w:t>关于本次交易方案调整构成重组方案重大调整的公告</w:t>
      </w:r>
      <w:r>
        <w:rPr>
          <w:rFonts w:hint="eastAsia"/>
          <w:bCs/>
          <w:sz w:val="24"/>
          <w:szCs w:val="24"/>
        </w:rPr>
        <w:t>》。</w:t>
      </w:r>
    </w:p>
    <w:p w14:paraId="09191B33"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2335170C"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6C1DE95" w14:textId="77777777" w:rsidR="00000000" w:rsidRDefault="00000000">
      <w:pPr>
        <w:spacing w:before="50" w:after="50" w:line="360" w:lineRule="auto"/>
        <w:ind w:firstLineChars="200" w:firstLine="480"/>
        <w:rPr>
          <w:bCs/>
          <w:sz w:val="24"/>
          <w:szCs w:val="24"/>
        </w:rPr>
      </w:pPr>
      <w:r>
        <w:rPr>
          <w:bCs/>
          <w:sz w:val="24"/>
          <w:szCs w:val="24"/>
        </w:rPr>
        <w:t>表决结果：通过。</w:t>
      </w:r>
    </w:p>
    <w:p w14:paraId="1684CEF3" w14:textId="77777777" w:rsidR="00000000" w:rsidRDefault="00000000">
      <w:pPr>
        <w:spacing w:before="50" w:after="50" w:line="360" w:lineRule="auto"/>
        <w:ind w:firstLineChars="200" w:firstLine="480"/>
        <w:rPr>
          <w:bCs/>
          <w:sz w:val="24"/>
          <w:szCs w:val="24"/>
        </w:rPr>
      </w:pPr>
      <w:r>
        <w:rPr>
          <w:bCs/>
          <w:sz w:val="24"/>
          <w:szCs w:val="24"/>
        </w:rPr>
        <w:t>本议案需提交公司股东大会审议。</w:t>
      </w:r>
    </w:p>
    <w:p w14:paraId="00040B6F" w14:textId="77777777" w:rsidR="00000000" w:rsidRDefault="00000000">
      <w:pPr>
        <w:spacing w:before="50" w:after="50" w:line="360" w:lineRule="auto"/>
        <w:ind w:firstLineChars="200" w:firstLine="482"/>
        <w:rPr>
          <w:b/>
          <w:sz w:val="24"/>
          <w:szCs w:val="24"/>
        </w:rPr>
      </w:pPr>
      <w:r>
        <w:rPr>
          <w:b/>
          <w:sz w:val="24"/>
          <w:szCs w:val="24"/>
        </w:rPr>
        <w:t>（三）审议通过《关于公司符合上市公司发行股份及支付现金购买资产并募集配套资金暨关联交易相关法律、法规规定的议案》</w:t>
      </w:r>
    </w:p>
    <w:p w14:paraId="36375BEB" w14:textId="77777777" w:rsidR="00000000" w:rsidRDefault="00000000">
      <w:pPr>
        <w:spacing w:before="50" w:after="50" w:line="360" w:lineRule="auto"/>
        <w:ind w:firstLineChars="200" w:firstLine="480"/>
        <w:rPr>
          <w:kern w:val="0"/>
          <w:sz w:val="24"/>
        </w:rPr>
      </w:pPr>
      <w:r>
        <w:rPr>
          <w:bCs/>
          <w:sz w:val="24"/>
        </w:rPr>
        <w:t>根据《中华人民共和国公司法》《中华人民共和国证券法》《上市公司重大资产重组管理办法》《上市公司证券发行注册管理办法》等法律法规和规范性文件的有关规定，对照上市公司发行股份及支付现金购买资产并募集配套资金暨关联交易的各项条件，公司</w:t>
      </w:r>
      <w:r>
        <w:rPr>
          <w:kern w:val="0"/>
          <w:sz w:val="24"/>
        </w:rPr>
        <w:t>结合实际情况经过自查论证后认为，本次交易亦符合上述法律法规规定的上市公司发行股份及支付现金购买资产并募集配套资金暨关联交易的各项要求和条件。</w:t>
      </w:r>
    </w:p>
    <w:p w14:paraId="04CE21DD"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72F5D44E"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5BDE96F1" w14:textId="77777777" w:rsidR="00000000" w:rsidRDefault="00000000">
      <w:pPr>
        <w:spacing w:before="50" w:after="50" w:line="360" w:lineRule="auto"/>
        <w:ind w:firstLineChars="200" w:firstLine="480"/>
        <w:rPr>
          <w:bCs/>
          <w:sz w:val="24"/>
          <w:szCs w:val="24"/>
        </w:rPr>
      </w:pPr>
      <w:r>
        <w:rPr>
          <w:bCs/>
          <w:sz w:val="24"/>
          <w:szCs w:val="24"/>
        </w:rPr>
        <w:t>表决结果：通过。</w:t>
      </w:r>
    </w:p>
    <w:p w14:paraId="055176E4" w14:textId="77777777" w:rsidR="00000000" w:rsidRDefault="00000000">
      <w:pPr>
        <w:spacing w:before="50" w:after="50" w:line="360" w:lineRule="auto"/>
        <w:ind w:firstLineChars="200" w:firstLine="480"/>
        <w:rPr>
          <w:b/>
          <w:sz w:val="24"/>
          <w:szCs w:val="24"/>
        </w:rPr>
      </w:pPr>
      <w:r>
        <w:rPr>
          <w:bCs/>
          <w:sz w:val="24"/>
          <w:szCs w:val="24"/>
        </w:rPr>
        <w:t>本议案需提交公司股东大会审议。</w:t>
      </w:r>
    </w:p>
    <w:p w14:paraId="214ACC6A" w14:textId="77777777" w:rsidR="00000000" w:rsidRDefault="00000000">
      <w:pPr>
        <w:spacing w:before="50" w:after="50" w:line="360" w:lineRule="auto"/>
        <w:ind w:firstLineChars="200" w:firstLine="482"/>
        <w:rPr>
          <w:b/>
          <w:sz w:val="24"/>
          <w:szCs w:val="24"/>
        </w:rPr>
      </w:pPr>
      <w:r>
        <w:rPr>
          <w:b/>
          <w:sz w:val="24"/>
          <w:szCs w:val="24"/>
        </w:rPr>
        <w:t>（四）逐项审议通过《关于公司发行股份及支付现金购买资产并募集配套资金暨关联交易方案的议案》</w:t>
      </w:r>
    </w:p>
    <w:p w14:paraId="4D90D234" w14:textId="77777777" w:rsidR="00000000" w:rsidRDefault="00000000">
      <w:pPr>
        <w:numPr>
          <w:ilvl w:val="0"/>
          <w:numId w:val="2"/>
        </w:numPr>
        <w:spacing w:before="50" w:after="50" w:line="360" w:lineRule="auto"/>
        <w:rPr>
          <w:b/>
          <w:bCs/>
          <w:sz w:val="24"/>
          <w:szCs w:val="24"/>
        </w:rPr>
      </w:pPr>
      <w:r>
        <w:rPr>
          <w:b/>
          <w:bCs/>
          <w:sz w:val="24"/>
          <w:szCs w:val="24"/>
        </w:rPr>
        <w:t>整体方案概述</w:t>
      </w:r>
    </w:p>
    <w:p w14:paraId="47DCEA9C" w14:textId="77777777" w:rsidR="00000000" w:rsidRDefault="00000000">
      <w:pPr>
        <w:spacing w:before="50" w:after="50" w:line="360" w:lineRule="auto"/>
        <w:ind w:firstLineChars="200" w:firstLine="480"/>
        <w:rPr>
          <w:bCs/>
          <w:sz w:val="24"/>
          <w:szCs w:val="24"/>
        </w:rPr>
      </w:pPr>
      <w:r>
        <w:rPr>
          <w:bCs/>
          <w:sz w:val="24"/>
          <w:szCs w:val="24"/>
        </w:rPr>
        <w:t>本次交易由发行股份及支付现金购买资产和募集配套资金两部分组成。本次发行股份及支付现金购买资产不以募集配套资金的成功实施为前提，最终募集配套资金成功与否或是否足额募集不影响本次发行股份及支付现金购买资产行为的实施。</w:t>
      </w:r>
    </w:p>
    <w:p w14:paraId="012134B9" w14:textId="77777777" w:rsidR="00000000" w:rsidRDefault="00000000">
      <w:pPr>
        <w:spacing w:before="50" w:after="50" w:line="360" w:lineRule="auto"/>
        <w:ind w:firstLineChars="200" w:firstLine="480"/>
        <w:rPr>
          <w:bCs/>
          <w:sz w:val="24"/>
          <w:szCs w:val="24"/>
        </w:rPr>
      </w:pPr>
      <w:r>
        <w:rPr>
          <w:bCs/>
          <w:sz w:val="24"/>
          <w:szCs w:val="24"/>
        </w:rPr>
        <w:lastRenderedPageBreak/>
        <w:t>（</w:t>
      </w:r>
      <w:r>
        <w:rPr>
          <w:bCs/>
          <w:sz w:val="24"/>
          <w:szCs w:val="24"/>
        </w:rPr>
        <w:t>1</w:t>
      </w:r>
      <w:r>
        <w:rPr>
          <w:bCs/>
          <w:sz w:val="24"/>
          <w:szCs w:val="24"/>
        </w:rPr>
        <w:t>）发行股份及支付现金购买资产</w:t>
      </w:r>
    </w:p>
    <w:p w14:paraId="71F04CB5" w14:textId="77777777" w:rsidR="00000000" w:rsidRDefault="00000000">
      <w:pPr>
        <w:spacing w:before="50" w:after="50" w:line="360" w:lineRule="auto"/>
        <w:ind w:firstLineChars="200" w:firstLine="480"/>
        <w:rPr>
          <w:bCs/>
          <w:sz w:val="24"/>
          <w:szCs w:val="24"/>
        </w:rPr>
      </w:pPr>
      <w:r>
        <w:rPr>
          <w:bCs/>
          <w:sz w:val="24"/>
          <w:szCs w:val="24"/>
        </w:rPr>
        <w:t>本次交易中公司拟以发行股份及支付现金方式购买核技术公司所持贝谷科技</w:t>
      </w:r>
      <w:r>
        <w:rPr>
          <w:bCs/>
          <w:sz w:val="24"/>
          <w:szCs w:val="24"/>
        </w:rPr>
        <w:t>30%</w:t>
      </w:r>
      <w:r>
        <w:rPr>
          <w:bCs/>
          <w:sz w:val="24"/>
          <w:szCs w:val="24"/>
        </w:rPr>
        <w:t>的股权、拟以发行股份及支付现金方式购买云科通所持贝谷科技</w:t>
      </w:r>
      <w:r>
        <w:rPr>
          <w:bCs/>
          <w:sz w:val="24"/>
          <w:szCs w:val="24"/>
        </w:rPr>
        <w:t>49%</w:t>
      </w:r>
      <w:r>
        <w:rPr>
          <w:bCs/>
          <w:sz w:val="24"/>
          <w:szCs w:val="24"/>
        </w:rPr>
        <w:t>的股权。本次交易完成后，公司将取得贝谷科技</w:t>
      </w:r>
      <w:r>
        <w:rPr>
          <w:bCs/>
          <w:sz w:val="24"/>
          <w:szCs w:val="24"/>
        </w:rPr>
        <w:t>79%</w:t>
      </w:r>
      <w:r>
        <w:rPr>
          <w:bCs/>
          <w:sz w:val="24"/>
          <w:szCs w:val="24"/>
        </w:rPr>
        <w:t>的股权，贝谷科技将成为公司控股子公司。</w:t>
      </w:r>
    </w:p>
    <w:p w14:paraId="2ABBC21A" w14:textId="77777777" w:rsidR="00000000" w:rsidRDefault="00000000">
      <w:pPr>
        <w:spacing w:before="50" w:after="50" w:line="360" w:lineRule="auto"/>
        <w:ind w:firstLineChars="200" w:firstLine="480"/>
        <w:rPr>
          <w:bCs/>
          <w:sz w:val="24"/>
          <w:szCs w:val="24"/>
        </w:rPr>
      </w:pPr>
      <w:r>
        <w:rPr>
          <w:bCs/>
          <w:sz w:val="24"/>
          <w:szCs w:val="24"/>
        </w:rPr>
        <w:t>本次交易中，公司聘请中发国际资产评估有限公司以</w:t>
      </w:r>
      <w:r>
        <w:rPr>
          <w:bCs/>
          <w:sz w:val="24"/>
          <w:szCs w:val="24"/>
        </w:rPr>
        <w:t>2022</w:t>
      </w:r>
      <w:r>
        <w:rPr>
          <w:bCs/>
          <w:sz w:val="24"/>
          <w:szCs w:val="24"/>
        </w:rPr>
        <w:t>年</w:t>
      </w:r>
      <w:r>
        <w:rPr>
          <w:bCs/>
          <w:sz w:val="24"/>
          <w:szCs w:val="24"/>
        </w:rPr>
        <w:t>12</w:t>
      </w:r>
      <w:r>
        <w:rPr>
          <w:bCs/>
          <w:sz w:val="24"/>
          <w:szCs w:val="24"/>
        </w:rPr>
        <w:t>月</w:t>
      </w:r>
      <w:r>
        <w:rPr>
          <w:bCs/>
          <w:sz w:val="24"/>
          <w:szCs w:val="24"/>
        </w:rPr>
        <w:t>31</w:t>
      </w:r>
      <w:r>
        <w:rPr>
          <w:bCs/>
          <w:sz w:val="24"/>
          <w:szCs w:val="24"/>
        </w:rPr>
        <w:t>日为评估基准日对贝谷科技</w:t>
      </w:r>
      <w:r>
        <w:rPr>
          <w:bCs/>
          <w:sz w:val="24"/>
          <w:szCs w:val="24"/>
        </w:rPr>
        <w:t>100%</w:t>
      </w:r>
      <w:r>
        <w:rPr>
          <w:bCs/>
          <w:sz w:val="24"/>
          <w:szCs w:val="24"/>
        </w:rPr>
        <w:t>股权进行了评估，评估值为</w:t>
      </w:r>
      <w:r>
        <w:rPr>
          <w:bCs/>
          <w:sz w:val="24"/>
          <w:szCs w:val="24"/>
        </w:rPr>
        <w:t>62,650.00</w:t>
      </w:r>
      <w:r>
        <w:rPr>
          <w:bCs/>
          <w:sz w:val="24"/>
          <w:szCs w:val="24"/>
        </w:rPr>
        <w:t>万元。基于前述评估值并经交易各方充分协商，贝谷科技</w:t>
      </w:r>
      <w:r>
        <w:rPr>
          <w:bCs/>
          <w:sz w:val="24"/>
          <w:szCs w:val="24"/>
        </w:rPr>
        <w:t>79.00%</w:t>
      </w:r>
      <w:r>
        <w:rPr>
          <w:bCs/>
          <w:sz w:val="24"/>
          <w:szCs w:val="24"/>
        </w:rPr>
        <w:t>股权作价为</w:t>
      </w:r>
      <w:r>
        <w:rPr>
          <w:bCs/>
          <w:sz w:val="24"/>
          <w:szCs w:val="24"/>
        </w:rPr>
        <w:t>49,493.50</w:t>
      </w:r>
      <w:r>
        <w:rPr>
          <w:bCs/>
          <w:sz w:val="24"/>
          <w:szCs w:val="24"/>
        </w:rPr>
        <w:t>万元，因此标的资产交易对价为</w:t>
      </w:r>
      <w:r>
        <w:rPr>
          <w:bCs/>
          <w:sz w:val="24"/>
          <w:szCs w:val="24"/>
        </w:rPr>
        <w:t>49,493.50</w:t>
      </w:r>
      <w:r>
        <w:rPr>
          <w:rFonts w:hint="eastAsia"/>
          <w:bCs/>
          <w:sz w:val="24"/>
          <w:szCs w:val="24"/>
        </w:rPr>
        <w:t>万</w:t>
      </w:r>
      <w:r>
        <w:rPr>
          <w:bCs/>
          <w:sz w:val="24"/>
          <w:szCs w:val="24"/>
        </w:rPr>
        <w:t>元，其中以发行股份的方式支付对价</w:t>
      </w:r>
      <w:r>
        <w:rPr>
          <w:bCs/>
          <w:sz w:val="24"/>
          <w:szCs w:val="24"/>
        </w:rPr>
        <w:t>34,645.45</w:t>
      </w:r>
      <w:r>
        <w:rPr>
          <w:bCs/>
          <w:sz w:val="24"/>
          <w:szCs w:val="24"/>
        </w:rPr>
        <w:t>万元，以支付现金的方式支付对价</w:t>
      </w:r>
      <w:r>
        <w:rPr>
          <w:bCs/>
          <w:sz w:val="24"/>
          <w:szCs w:val="24"/>
        </w:rPr>
        <w:t>14,848.05</w:t>
      </w:r>
      <w:r>
        <w:rPr>
          <w:bCs/>
          <w:sz w:val="24"/>
          <w:szCs w:val="24"/>
        </w:rPr>
        <w:t>万元。公司向交易对方分别支付对价的金额及具体方式如下表所示：</w:t>
      </w:r>
    </w:p>
    <w:p w14:paraId="001238B0" w14:textId="77777777" w:rsidR="00000000" w:rsidRDefault="00000000">
      <w:pPr>
        <w:ind w:left="840" w:right="210"/>
        <w:jc w:val="right"/>
        <w:rPr>
          <w:color w:val="000000"/>
          <w:szCs w:val="21"/>
        </w:rPr>
      </w:pPr>
      <w:r>
        <w:rPr>
          <w:color w:val="000000"/>
          <w:szCs w:val="21"/>
        </w:rPr>
        <w:t>单位：万元</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1410"/>
        <w:gridCol w:w="2180"/>
        <w:gridCol w:w="1243"/>
        <w:gridCol w:w="1243"/>
        <w:gridCol w:w="1565"/>
      </w:tblGrid>
      <w:tr w:rsidR="00000000" w14:paraId="2E781D3E" w14:textId="77777777">
        <w:trPr>
          <w:trHeight w:val="340"/>
          <w:tblHeader/>
        </w:trPr>
        <w:tc>
          <w:tcPr>
            <w:tcW w:w="395" w:type="pct"/>
            <w:vMerge w:val="restart"/>
            <w:vAlign w:val="center"/>
          </w:tcPr>
          <w:p w14:paraId="5615783A" w14:textId="77777777" w:rsidR="00000000" w:rsidRDefault="00000000">
            <w:pPr>
              <w:tabs>
                <w:tab w:val="left" w:pos="1800"/>
                <w:tab w:val="left" w:pos="2240"/>
              </w:tabs>
              <w:autoSpaceDE w:val="0"/>
              <w:autoSpaceDN w:val="0"/>
              <w:jc w:val="center"/>
              <w:outlineLvl w:val="2"/>
              <w:rPr>
                <w:b/>
                <w:bCs/>
                <w:color w:val="000000"/>
                <w:kern w:val="0"/>
                <w:szCs w:val="21"/>
              </w:rPr>
            </w:pPr>
            <w:r>
              <w:rPr>
                <w:b/>
                <w:bCs/>
                <w:color w:val="000000"/>
                <w:kern w:val="0"/>
                <w:szCs w:val="21"/>
              </w:rPr>
              <w:t>序号</w:t>
            </w:r>
          </w:p>
        </w:tc>
        <w:tc>
          <w:tcPr>
            <w:tcW w:w="850" w:type="pct"/>
            <w:vMerge w:val="restart"/>
            <w:vAlign w:val="center"/>
          </w:tcPr>
          <w:p w14:paraId="10B21D12" w14:textId="77777777" w:rsidR="00000000" w:rsidRDefault="00000000">
            <w:pPr>
              <w:tabs>
                <w:tab w:val="left" w:pos="1800"/>
                <w:tab w:val="left" w:pos="2240"/>
              </w:tabs>
              <w:autoSpaceDE w:val="0"/>
              <w:autoSpaceDN w:val="0"/>
              <w:jc w:val="center"/>
              <w:outlineLvl w:val="2"/>
              <w:rPr>
                <w:b/>
                <w:bCs/>
                <w:color w:val="000000"/>
                <w:kern w:val="0"/>
                <w:szCs w:val="21"/>
              </w:rPr>
            </w:pPr>
            <w:r>
              <w:rPr>
                <w:b/>
                <w:bCs/>
                <w:color w:val="000000"/>
                <w:kern w:val="0"/>
                <w:szCs w:val="21"/>
              </w:rPr>
              <w:t>交易对方</w:t>
            </w:r>
          </w:p>
        </w:tc>
        <w:tc>
          <w:tcPr>
            <w:tcW w:w="1314" w:type="pct"/>
            <w:vMerge w:val="restart"/>
            <w:vAlign w:val="center"/>
          </w:tcPr>
          <w:p w14:paraId="1C11EE0B" w14:textId="77777777" w:rsidR="00000000" w:rsidRDefault="00000000">
            <w:pPr>
              <w:tabs>
                <w:tab w:val="left" w:pos="1800"/>
                <w:tab w:val="left" w:pos="2240"/>
              </w:tabs>
              <w:autoSpaceDE w:val="0"/>
              <w:autoSpaceDN w:val="0"/>
              <w:jc w:val="center"/>
              <w:outlineLvl w:val="2"/>
              <w:rPr>
                <w:b/>
                <w:bCs/>
                <w:color w:val="000000"/>
                <w:kern w:val="0"/>
                <w:szCs w:val="21"/>
              </w:rPr>
            </w:pPr>
            <w:r>
              <w:rPr>
                <w:b/>
                <w:bCs/>
                <w:color w:val="000000"/>
                <w:kern w:val="0"/>
                <w:szCs w:val="21"/>
              </w:rPr>
              <w:t>交易标的名称</w:t>
            </w:r>
          </w:p>
          <w:p w14:paraId="76E5DFCE" w14:textId="77777777" w:rsidR="00000000" w:rsidRDefault="00000000">
            <w:pPr>
              <w:tabs>
                <w:tab w:val="left" w:pos="1800"/>
                <w:tab w:val="left" w:pos="2240"/>
              </w:tabs>
              <w:autoSpaceDE w:val="0"/>
              <w:autoSpaceDN w:val="0"/>
              <w:jc w:val="center"/>
              <w:outlineLvl w:val="2"/>
              <w:rPr>
                <w:b/>
                <w:bCs/>
                <w:color w:val="000000"/>
                <w:kern w:val="0"/>
                <w:szCs w:val="21"/>
              </w:rPr>
            </w:pPr>
            <w:r>
              <w:rPr>
                <w:b/>
                <w:bCs/>
                <w:color w:val="000000"/>
                <w:kern w:val="0"/>
                <w:szCs w:val="21"/>
              </w:rPr>
              <w:t>及权益比例</w:t>
            </w:r>
          </w:p>
        </w:tc>
        <w:tc>
          <w:tcPr>
            <w:tcW w:w="1498" w:type="pct"/>
            <w:gridSpan w:val="2"/>
            <w:vAlign w:val="center"/>
          </w:tcPr>
          <w:p w14:paraId="6BC7CA6F"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支付方式</w:t>
            </w:r>
          </w:p>
        </w:tc>
        <w:tc>
          <w:tcPr>
            <w:tcW w:w="943" w:type="pct"/>
            <w:vMerge w:val="restart"/>
            <w:vAlign w:val="center"/>
          </w:tcPr>
          <w:p w14:paraId="6AADF40A"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向该交易对方支付的总对价</w:t>
            </w:r>
          </w:p>
        </w:tc>
      </w:tr>
      <w:tr w:rsidR="00000000" w14:paraId="5F790439" w14:textId="77777777">
        <w:trPr>
          <w:trHeight w:val="340"/>
          <w:tblHeader/>
        </w:trPr>
        <w:tc>
          <w:tcPr>
            <w:tcW w:w="395" w:type="pct"/>
            <w:vMerge/>
            <w:vAlign w:val="center"/>
          </w:tcPr>
          <w:p w14:paraId="5106A5CB" w14:textId="77777777" w:rsidR="00000000" w:rsidRDefault="00000000">
            <w:pPr>
              <w:widowControl/>
              <w:tabs>
                <w:tab w:val="left" w:pos="1800"/>
                <w:tab w:val="left" w:pos="2240"/>
              </w:tabs>
              <w:autoSpaceDE w:val="0"/>
              <w:autoSpaceDN w:val="0"/>
              <w:jc w:val="center"/>
              <w:outlineLvl w:val="2"/>
              <w:rPr>
                <w:b/>
                <w:bCs/>
                <w:color w:val="000000"/>
                <w:kern w:val="0"/>
                <w:szCs w:val="21"/>
              </w:rPr>
            </w:pPr>
          </w:p>
        </w:tc>
        <w:tc>
          <w:tcPr>
            <w:tcW w:w="850" w:type="pct"/>
            <w:vMerge/>
            <w:vAlign w:val="center"/>
          </w:tcPr>
          <w:p w14:paraId="07134786" w14:textId="77777777" w:rsidR="00000000" w:rsidRDefault="00000000">
            <w:pPr>
              <w:widowControl/>
              <w:tabs>
                <w:tab w:val="left" w:pos="1800"/>
                <w:tab w:val="left" w:pos="2240"/>
              </w:tabs>
              <w:autoSpaceDE w:val="0"/>
              <w:autoSpaceDN w:val="0"/>
              <w:jc w:val="center"/>
              <w:outlineLvl w:val="2"/>
              <w:rPr>
                <w:b/>
                <w:bCs/>
                <w:color w:val="000000"/>
                <w:kern w:val="0"/>
                <w:szCs w:val="21"/>
              </w:rPr>
            </w:pPr>
          </w:p>
        </w:tc>
        <w:tc>
          <w:tcPr>
            <w:tcW w:w="1314" w:type="pct"/>
            <w:vMerge/>
            <w:vAlign w:val="center"/>
          </w:tcPr>
          <w:p w14:paraId="09AB8CF1" w14:textId="77777777" w:rsidR="00000000" w:rsidRDefault="00000000">
            <w:pPr>
              <w:widowControl/>
              <w:tabs>
                <w:tab w:val="left" w:pos="1800"/>
                <w:tab w:val="left" w:pos="2240"/>
              </w:tabs>
              <w:autoSpaceDE w:val="0"/>
              <w:autoSpaceDN w:val="0"/>
              <w:jc w:val="center"/>
              <w:outlineLvl w:val="2"/>
              <w:rPr>
                <w:b/>
                <w:bCs/>
                <w:color w:val="000000"/>
                <w:kern w:val="0"/>
                <w:szCs w:val="21"/>
              </w:rPr>
            </w:pPr>
          </w:p>
        </w:tc>
        <w:tc>
          <w:tcPr>
            <w:tcW w:w="749" w:type="pct"/>
            <w:vAlign w:val="center"/>
          </w:tcPr>
          <w:p w14:paraId="154AA1F1"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现金对价</w:t>
            </w:r>
          </w:p>
          <w:p w14:paraId="6B334A5A"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w:t>
            </w:r>
            <w:r>
              <w:rPr>
                <w:b/>
                <w:bCs/>
                <w:color w:val="000000"/>
                <w:kern w:val="0"/>
                <w:szCs w:val="21"/>
              </w:rPr>
              <w:t>30%</w:t>
            </w:r>
            <w:r>
              <w:rPr>
                <w:b/>
                <w:bCs/>
                <w:color w:val="000000"/>
                <w:kern w:val="0"/>
                <w:szCs w:val="21"/>
              </w:rPr>
              <w:t>）</w:t>
            </w:r>
          </w:p>
        </w:tc>
        <w:tc>
          <w:tcPr>
            <w:tcW w:w="749" w:type="pct"/>
            <w:vAlign w:val="center"/>
          </w:tcPr>
          <w:p w14:paraId="29B85A8E"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股份对价</w:t>
            </w:r>
          </w:p>
          <w:p w14:paraId="2076B6CE"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w:t>
            </w:r>
            <w:r>
              <w:rPr>
                <w:b/>
                <w:bCs/>
                <w:color w:val="000000"/>
                <w:kern w:val="0"/>
                <w:szCs w:val="21"/>
              </w:rPr>
              <w:t>70%</w:t>
            </w:r>
            <w:r>
              <w:rPr>
                <w:b/>
                <w:bCs/>
                <w:color w:val="000000"/>
                <w:kern w:val="0"/>
                <w:szCs w:val="21"/>
              </w:rPr>
              <w:t>）</w:t>
            </w:r>
          </w:p>
        </w:tc>
        <w:tc>
          <w:tcPr>
            <w:tcW w:w="943" w:type="pct"/>
            <w:vMerge/>
            <w:vAlign w:val="center"/>
          </w:tcPr>
          <w:p w14:paraId="054FBFAD" w14:textId="77777777" w:rsidR="00000000" w:rsidRDefault="00000000">
            <w:pPr>
              <w:widowControl/>
              <w:tabs>
                <w:tab w:val="left" w:pos="1800"/>
                <w:tab w:val="left" w:pos="2240"/>
              </w:tabs>
              <w:autoSpaceDE w:val="0"/>
              <w:autoSpaceDN w:val="0"/>
              <w:jc w:val="center"/>
              <w:outlineLvl w:val="2"/>
              <w:rPr>
                <w:b/>
                <w:bCs/>
                <w:color w:val="000000"/>
                <w:kern w:val="0"/>
                <w:szCs w:val="21"/>
              </w:rPr>
            </w:pPr>
          </w:p>
        </w:tc>
      </w:tr>
      <w:tr w:rsidR="00000000" w14:paraId="0025EB0A" w14:textId="77777777">
        <w:trPr>
          <w:trHeight w:val="340"/>
        </w:trPr>
        <w:tc>
          <w:tcPr>
            <w:tcW w:w="395" w:type="pct"/>
            <w:vAlign w:val="center"/>
          </w:tcPr>
          <w:p w14:paraId="40A3D746" w14:textId="77777777" w:rsidR="00000000" w:rsidRDefault="00000000">
            <w:pPr>
              <w:widowControl/>
              <w:tabs>
                <w:tab w:val="left" w:pos="1800"/>
                <w:tab w:val="left" w:pos="2240"/>
              </w:tabs>
              <w:autoSpaceDE w:val="0"/>
              <w:autoSpaceDN w:val="0"/>
              <w:jc w:val="center"/>
              <w:outlineLvl w:val="2"/>
              <w:rPr>
                <w:color w:val="000000"/>
                <w:kern w:val="0"/>
                <w:szCs w:val="21"/>
              </w:rPr>
            </w:pPr>
            <w:r>
              <w:rPr>
                <w:color w:val="000000"/>
                <w:kern w:val="0"/>
                <w:szCs w:val="21"/>
              </w:rPr>
              <w:t>1</w:t>
            </w:r>
          </w:p>
        </w:tc>
        <w:tc>
          <w:tcPr>
            <w:tcW w:w="850" w:type="pct"/>
            <w:vAlign w:val="center"/>
          </w:tcPr>
          <w:p w14:paraId="688666BA" w14:textId="77777777" w:rsidR="00000000" w:rsidRDefault="00000000">
            <w:pPr>
              <w:widowControl/>
              <w:tabs>
                <w:tab w:val="left" w:pos="1800"/>
                <w:tab w:val="left" w:pos="2240"/>
              </w:tabs>
              <w:autoSpaceDE w:val="0"/>
              <w:autoSpaceDN w:val="0"/>
              <w:jc w:val="center"/>
              <w:outlineLvl w:val="2"/>
              <w:rPr>
                <w:color w:val="000000"/>
                <w:kern w:val="0"/>
                <w:szCs w:val="21"/>
              </w:rPr>
            </w:pPr>
            <w:r>
              <w:rPr>
                <w:color w:val="000000"/>
                <w:kern w:val="0"/>
                <w:szCs w:val="21"/>
              </w:rPr>
              <w:t>核技术公司</w:t>
            </w:r>
          </w:p>
        </w:tc>
        <w:tc>
          <w:tcPr>
            <w:tcW w:w="1314" w:type="pct"/>
            <w:vAlign w:val="center"/>
          </w:tcPr>
          <w:p w14:paraId="071FE6A9" w14:textId="77777777" w:rsidR="00000000" w:rsidRDefault="00000000">
            <w:pPr>
              <w:widowControl/>
              <w:tabs>
                <w:tab w:val="left" w:pos="1800"/>
                <w:tab w:val="left" w:pos="2240"/>
              </w:tabs>
              <w:autoSpaceDE w:val="0"/>
              <w:autoSpaceDN w:val="0"/>
              <w:jc w:val="center"/>
              <w:outlineLvl w:val="2"/>
              <w:rPr>
                <w:color w:val="000000"/>
                <w:kern w:val="0"/>
                <w:szCs w:val="21"/>
              </w:rPr>
            </w:pPr>
            <w:r>
              <w:rPr>
                <w:color w:val="000000"/>
                <w:kern w:val="0"/>
                <w:szCs w:val="21"/>
              </w:rPr>
              <w:t>贝谷科技</w:t>
            </w:r>
            <w:r>
              <w:rPr>
                <w:color w:val="000000"/>
                <w:kern w:val="0"/>
                <w:szCs w:val="21"/>
              </w:rPr>
              <w:t>30.00%</w:t>
            </w:r>
            <w:r>
              <w:rPr>
                <w:color w:val="000000"/>
                <w:kern w:val="0"/>
                <w:szCs w:val="21"/>
              </w:rPr>
              <w:t>股权</w:t>
            </w:r>
          </w:p>
        </w:tc>
        <w:tc>
          <w:tcPr>
            <w:tcW w:w="749" w:type="pct"/>
            <w:vAlign w:val="center"/>
          </w:tcPr>
          <w:p w14:paraId="6DE082E3" w14:textId="77777777" w:rsidR="00000000" w:rsidRDefault="00000000">
            <w:pPr>
              <w:widowControl/>
              <w:tabs>
                <w:tab w:val="left" w:pos="1800"/>
                <w:tab w:val="left" w:pos="2240"/>
              </w:tabs>
              <w:autoSpaceDE w:val="0"/>
              <w:autoSpaceDN w:val="0"/>
              <w:jc w:val="right"/>
              <w:outlineLvl w:val="2"/>
              <w:rPr>
                <w:color w:val="000000"/>
                <w:kern w:val="0"/>
                <w:szCs w:val="21"/>
              </w:rPr>
            </w:pPr>
            <w:r>
              <w:rPr>
                <w:color w:val="000000"/>
                <w:kern w:val="0"/>
                <w:szCs w:val="21"/>
              </w:rPr>
              <w:t>5,638.50</w:t>
            </w:r>
          </w:p>
        </w:tc>
        <w:tc>
          <w:tcPr>
            <w:tcW w:w="749" w:type="pct"/>
            <w:vAlign w:val="center"/>
          </w:tcPr>
          <w:p w14:paraId="590A1FB8" w14:textId="77777777" w:rsidR="00000000" w:rsidRDefault="00000000">
            <w:pPr>
              <w:widowControl/>
              <w:tabs>
                <w:tab w:val="left" w:pos="1800"/>
                <w:tab w:val="left" w:pos="2240"/>
              </w:tabs>
              <w:autoSpaceDE w:val="0"/>
              <w:autoSpaceDN w:val="0"/>
              <w:jc w:val="right"/>
              <w:outlineLvl w:val="2"/>
              <w:rPr>
                <w:color w:val="000000"/>
                <w:kern w:val="0"/>
                <w:szCs w:val="21"/>
              </w:rPr>
            </w:pPr>
            <w:r>
              <w:rPr>
                <w:color w:val="000000"/>
                <w:kern w:val="0"/>
                <w:szCs w:val="21"/>
              </w:rPr>
              <w:t>13,156.50</w:t>
            </w:r>
          </w:p>
        </w:tc>
        <w:tc>
          <w:tcPr>
            <w:tcW w:w="943" w:type="pct"/>
            <w:vAlign w:val="center"/>
          </w:tcPr>
          <w:p w14:paraId="746FCD5A" w14:textId="77777777" w:rsidR="00000000" w:rsidRDefault="00000000">
            <w:pPr>
              <w:widowControl/>
              <w:tabs>
                <w:tab w:val="left" w:pos="1800"/>
                <w:tab w:val="left" w:pos="2240"/>
              </w:tabs>
              <w:autoSpaceDE w:val="0"/>
              <w:autoSpaceDN w:val="0"/>
              <w:jc w:val="right"/>
              <w:outlineLvl w:val="2"/>
              <w:rPr>
                <w:color w:val="000000"/>
                <w:kern w:val="0"/>
                <w:szCs w:val="21"/>
              </w:rPr>
            </w:pPr>
            <w:r>
              <w:rPr>
                <w:color w:val="000000"/>
                <w:kern w:val="0"/>
                <w:szCs w:val="21"/>
              </w:rPr>
              <w:t>18,795.00</w:t>
            </w:r>
          </w:p>
        </w:tc>
      </w:tr>
      <w:tr w:rsidR="00000000" w14:paraId="396C22AC" w14:textId="77777777">
        <w:trPr>
          <w:trHeight w:val="340"/>
        </w:trPr>
        <w:tc>
          <w:tcPr>
            <w:tcW w:w="395" w:type="pct"/>
            <w:vAlign w:val="center"/>
          </w:tcPr>
          <w:p w14:paraId="49B67D21" w14:textId="77777777" w:rsidR="00000000" w:rsidRDefault="00000000">
            <w:pPr>
              <w:widowControl/>
              <w:tabs>
                <w:tab w:val="left" w:pos="1800"/>
                <w:tab w:val="left" w:pos="2240"/>
              </w:tabs>
              <w:autoSpaceDE w:val="0"/>
              <w:autoSpaceDN w:val="0"/>
              <w:jc w:val="center"/>
              <w:outlineLvl w:val="2"/>
              <w:rPr>
                <w:color w:val="000000"/>
                <w:kern w:val="0"/>
                <w:szCs w:val="21"/>
              </w:rPr>
            </w:pPr>
            <w:r>
              <w:rPr>
                <w:color w:val="000000"/>
                <w:kern w:val="0"/>
                <w:szCs w:val="21"/>
              </w:rPr>
              <w:t>2</w:t>
            </w:r>
          </w:p>
        </w:tc>
        <w:tc>
          <w:tcPr>
            <w:tcW w:w="850" w:type="pct"/>
            <w:vAlign w:val="center"/>
          </w:tcPr>
          <w:p w14:paraId="78EB320E" w14:textId="77777777" w:rsidR="00000000" w:rsidRDefault="00000000">
            <w:pPr>
              <w:widowControl/>
              <w:tabs>
                <w:tab w:val="left" w:pos="1800"/>
                <w:tab w:val="left" w:pos="2240"/>
              </w:tabs>
              <w:autoSpaceDE w:val="0"/>
              <w:autoSpaceDN w:val="0"/>
              <w:jc w:val="center"/>
              <w:outlineLvl w:val="2"/>
              <w:rPr>
                <w:color w:val="000000"/>
                <w:kern w:val="0"/>
                <w:szCs w:val="21"/>
              </w:rPr>
            </w:pPr>
            <w:r>
              <w:rPr>
                <w:color w:val="000000"/>
                <w:kern w:val="0"/>
                <w:szCs w:val="21"/>
              </w:rPr>
              <w:t>云科通</w:t>
            </w:r>
          </w:p>
        </w:tc>
        <w:tc>
          <w:tcPr>
            <w:tcW w:w="1314" w:type="pct"/>
            <w:vAlign w:val="center"/>
          </w:tcPr>
          <w:p w14:paraId="71EC2DDB" w14:textId="77777777" w:rsidR="00000000" w:rsidRDefault="00000000">
            <w:pPr>
              <w:widowControl/>
              <w:tabs>
                <w:tab w:val="left" w:pos="1800"/>
                <w:tab w:val="left" w:pos="2240"/>
              </w:tabs>
              <w:autoSpaceDE w:val="0"/>
              <w:autoSpaceDN w:val="0"/>
              <w:jc w:val="center"/>
              <w:outlineLvl w:val="2"/>
              <w:rPr>
                <w:color w:val="000000"/>
                <w:kern w:val="0"/>
                <w:szCs w:val="21"/>
              </w:rPr>
            </w:pPr>
            <w:r>
              <w:rPr>
                <w:color w:val="000000"/>
                <w:kern w:val="0"/>
                <w:szCs w:val="21"/>
              </w:rPr>
              <w:t>贝谷科技</w:t>
            </w:r>
            <w:r>
              <w:rPr>
                <w:color w:val="000000"/>
                <w:kern w:val="0"/>
                <w:szCs w:val="21"/>
              </w:rPr>
              <w:t>49.00%</w:t>
            </w:r>
            <w:r>
              <w:rPr>
                <w:color w:val="000000"/>
                <w:kern w:val="0"/>
                <w:szCs w:val="21"/>
              </w:rPr>
              <w:t>股权</w:t>
            </w:r>
          </w:p>
        </w:tc>
        <w:tc>
          <w:tcPr>
            <w:tcW w:w="749" w:type="pct"/>
            <w:vAlign w:val="center"/>
          </w:tcPr>
          <w:p w14:paraId="0CA8249F" w14:textId="77777777" w:rsidR="00000000" w:rsidRDefault="00000000">
            <w:pPr>
              <w:widowControl/>
              <w:tabs>
                <w:tab w:val="left" w:pos="1800"/>
                <w:tab w:val="left" w:pos="2240"/>
              </w:tabs>
              <w:autoSpaceDE w:val="0"/>
              <w:autoSpaceDN w:val="0"/>
              <w:jc w:val="right"/>
              <w:outlineLvl w:val="2"/>
              <w:rPr>
                <w:color w:val="000000"/>
                <w:kern w:val="0"/>
                <w:szCs w:val="21"/>
              </w:rPr>
            </w:pPr>
            <w:r>
              <w:rPr>
                <w:color w:val="000000"/>
                <w:kern w:val="0"/>
                <w:szCs w:val="21"/>
              </w:rPr>
              <w:t>9,209.55</w:t>
            </w:r>
          </w:p>
        </w:tc>
        <w:tc>
          <w:tcPr>
            <w:tcW w:w="749" w:type="pct"/>
            <w:vAlign w:val="center"/>
          </w:tcPr>
          <w:p w14:paraId="29919731" w14:textId="77777777" w:rsidR="00000000" w:rsidRDefault="00000000">
            <w:pPr>
              <w:widowControl/>
              <w:tabs>
                <w:tab w:val="left" w:pos="1800"/>
                <w:tab w:val="left" w:pos="2240"/>
              </w:tabs>
              <w:autoSpaceDE w:val="0"/>
              <w:autoSpaceDN w:val="0"/>
              <w:jc w:val="right"/>
              <w:outlineLvl w:val="2"/>
              <w:rPr>
                <w:color w:val="000000"/>
                <w:kern w:val="0"/>
                <w:szCs w:val="21"/>
              </w:rPr>
            </w:pPr>
            <w:r>
              <w:rPr>
                <w:color w:val="000000"/>
                <w:kern w:val="0"/>
                <w:szCs w:val="21"/>
              </w:rPr>
              <w:t>21,488.95</w:t>
            </w:r>
          </w:p>
        </w:tc>
        <w:tc>
          <w:tcPr>
            <w:tcW w:w="943" w:type="pct"/>
            <w:vAlign w:val="center"/>
          </w:tcPr>
          <w:p w14:paraId="51620BD1" w14:textId="77777777" w:rsidR="00000000" w:rsidRDefault="00000000">
            <w:pPr>
              <w:widowControl/>
              <w:tabs>
                <w:tab w:val="left" w:pos="1800"/>
                <w:tab w:val="left" w:pos="2240"/>
              </w:tabs>
              <w:autoSpaceDE w:val="0"/>
              <w:autoSpaceDN w:val="0"/>
              <w:jc w:val="right"/>
              <w:outlineLvl w:val="2"/>
              <w:rPr>
                <w:color w:val="000000"/>
                <w:kern w:val="0"/>
                <w:szCs w:val="21"/>
              </w:rPr>
            </w:pPr>
            <w:r>
              <w:rPr>
                <w:color w:val="000000"/>
                <w:kern w:val="0"/>
                <w:szCs w:val="21"/>
              </w:rPr>
              <w:t>30,698.50</w:t>
            </w:r>
          </w:p>
        </w:tc>
      </w:tr>
      <w:tr w:rsidR="00000000" w14:paraId="0FD7B017" w14:textId="77777777">
        <w:trPr>
          <w:trHeight w:val="340"/>
        </w:trPr>
        <w:tc>
          <w:tcPr>
            <w:tcW w:w="395" w:type="pct"/>
            <w:vAlign w:val="center"/>
          </w:tcPr>
          <w:p w14:paraId="047B00D9"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合计</w:t>
            </w:r>
          </w:p>
        </w:tc>
        <w:tc>
          <w:tcPr>
            <w:tcW w:w="850" w:type="pct"/>
            <w:vAlign w:val="center"/>
          </w:tcPr>
          <w:p w14:paraId="7DDC2892"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w:t>
            </w:r>
          </w:p>
        </w:tc>
        <w:tc>
          <w:tcPr>
            <w:tcW w:w="1314" w:type="pct"/>
            <w:vAlign w:val="center"/>
          </w:tcPr>
          <w:p w14:paraId="020D5B89" w14:textId="77777777" w:rsidR="00000000" w:rsidRDefault="00000000">
            <w:pPr>
              <w:widowControl/>
              <w:tabs>
                <w:tab w:val="left" w:pos="1800"/>
                <w:tab w:val="left" w:pos="2240"/>
              </w:tabs>
              <w:autoSpaceDE w:val="0"/>
              <w:autoSpaceDN w:val="0"/>
              <w:jc w:val="center"/>
              <w:outlineLvl w:val="2"/>
              <w:rPr>
                <w:b/>
                <w:bCs/>
                <w:color w:val="000000"/>
                <w:kern w:val="0"/>
                <w:szCs w:val="21"/>
              </w:rPr>
            </w:pPr>
            <w:r>
              <w:rPr>
                <w:b/>
                <w:bCs/>
                <w:color w:val="000000"/>
                <w:kern w:val="0"/>
                <w:szCs w:val="21"/>
              </w:rPr>
              <w:t>贝谷科技</w:t>
            </w:r>
            <w:r>
              <w:rPr>
                <w:b/>
                <w:bCs/>
                <w:color w:val="000000"/>
                <w:kern w:val="0"/>
                <w:szCs w:val="21"/>
              </w:rPr>
              <w:t>79.00%</w:t>
            </w:r>
            <w:r>
              <w:rPr>
                <w:b/>
                <w:bCs/>
                <w:color w:val="000000"/>
                <w:kern w:val="0"/>
                <w:szCs w:val="21"/>
              </w:rPr>
              <w:t>股权</w:t>
            </w:r>
          </w:p>
        </w:tc>
        <w:tc>
          <w:tcPr>
            <w:tcW w:w="749" w:type="pct"/>
            <w:vAlign w:val="center"/>
          </w:tcPr>
          <w:p w14:paraId="557D38DC" w14:textId="77777777" w:rsidR="00000000" w:rsidRDefault="00000000">
            <w:pPr>
              <w:widowControl/>
              <w:tabs>
                <w:tab w:val="left" w:pos="1800"/>
                <w:tab w:val="left" w:pos="2240"/>
              </w:tabs>
              <w:autoSpaceDE w:val="0"/>
              <w:autoSpaceDN w:val="0"/>
              <w:jc w:val="right"/>
              <w:outlineLvl w:val="2"/>
              <w:rPr>
                <w:b/>
                <w:bCs/>
                <w:color w:val="000000"/>
                <w:kern w:val="0"/>
                <w:szCs w:val="21"/>
              </w:rPr>
            </w:pPr>
            <w:r>
              <w:rPr>
                <w:b/>
                <w:bCs/>
                <w:color w:val="000000"/>
                <w:kern w:val="0"/>
                <w:szCs w:val="21"/>
              </w:rPr>
              <w:t>14,848.05</w:t>
            </w:r>
          </w:p>
        </w:tc>
        <w:tc>
          <w:tcPr>
            <w:tcW w:w="749" w:type="pct"/>
            <w:vAlign w:val="center"/>
          </w:tcPr>
          <w:p w14:paraId="3FFB4291" w14:textId="77777777" w:rsidR="00000000" w:rsidRDefault="00000000">
            <w:pPr>
              <w:widowControl/>
              <w:tabs>
                <w:tab w:val="left" w:pos="1800"/>
                <w:tab w:val="left" w:pos="2240"/>
              </w:tabs>
              <w:autoSpaceDE w:val="0"/>
              <w:autoSpaceDN w:val="0"/>
              <w:jc w:val="right"/>
              <w:outlineLvl w:val="2"/>
              <w:rPr>
                <w:b/>
                <w:bCs/>
                <w:color w:val="000000"/>
                <w:kern w:val="0"/>
                <w:szCs w:val="21"/>
              </w:rPr>
            </w:pPr>
            <w:r>
              <w:rPr>
                <w:b/>
                <w:bCs/>
                <w:color w:val="000000"/>
                <w:kern w:val="0"/>
                <w:szCs w:val="21"/>
              </w:rPr>
              <w:t>34,645.45</w:t>
            </w:r>
          </w:p>
        </w:tc>
        <w:tc>
          <w:tcPr>
            <w:tcW w:w="943" w:type="pct"/>
            <w:vAlign w:val="center"/>
          </w:tcPr>
          <w:p w14:paraId="25357BB6" w14:textId="77777777" w:rsidR="00000000" w:rsidRDefault="00000000">
            <w:pPr>
              <w:widowControl/>
              <w:tabs>
                <w:tab w:val="left" w:pos="1800"/>
                <w:tab w:val="left" w:pos="2240"/>
              </w:tabs>
              <w:autoSpaceDE w:val="0"/>
              <w:autoSpaceDN w:val="0"/>
              <w:jc w:val="right"/>
              <w:outlineLvl w:val="2"/>
              <w:rPr>
                <w:color w:val="000000"/>
                <w:kern w:val="0"/>
                <w:szCs w:val="21"/>
              </w:rPr>
            </w:pPr>
            <w:r>
              <w:rPr>
                <w:b/>
                <w:bCs/>
                <w:color w:val="000000"/>
                <w:kern w:val="0"/>
                <w:szCs w:val="21"/>
              </w:rPr>
              <w:t>49,493.50</w:t>
            </w:r>
          </w:p>
        </w:tc>
      </w:tr>
    </w:tbl>
    <w:p w14:paraId="608B13F5" w14:textId="77777777" w:rsidR="00000000" w:rsidRDefault="00000000">
      <w:pPr>
        <w:spacing w:before="50" w:after="50" w:line="360" w:lineRule="auto"/>
        <w:ind w:firstLineChars="200" w:firstLine="480"/>
        <w:rPr>
          <w:bCs/>
          <w:sz w:val="24"/>
          <w:szCs w:val="24"/>
        </w:rPr>
      </w:pPr>
      <w:r>
        <w:rPr>
          <w:bCs/>
          <w:sz w:val="24"/>
          <w:szCs w:val="24"/>
        </w:rPr>
        <w:t>（</w:t>
      </w:r>
      <w:r>
        <w:rPr>
          <w:bCs/>
          <w:sz w:val="24"/>
          <w:szCs w:val="24"/>
        </w:rPr>
        <w:t>2</w:t>
      </w:r>
      <w:r>
        <w:rPr>
          <w:bCs/>
          <w:sz w:val="24"/>
          <w:szCs w:val="24"/>
        </w:rPr>
        <w:t>）发行股份募集配套资金</w:t>
      </w:r>
    </w:p>
    <w:p w14:paraId="52898148" w14:textId="77777777" w:rsidR="00000000" w:rsidRDefault="00000000">
      <w:pPr>
        <w:spacing w:before="50" w:after="50" w:line="360" w:lineRule="auto"/>
        <w:ind w:firstLineChars="200" w:firstLine="480"/>
        <w:rPr>
          <w:bCs/>
          <w:sz w:val="24"/>
          <w:szCs w:val="24"/>
        </w:rPr>
      </w:pPr>
      <w:r>
        <w:rPr>
          <w:bCs/>
          <w:sz w:val="24"/>
          <w:szCs w:val="24"/>
        </w:rPr>
        <w:t>本次交易中公司拟向核技术公司发行人民币普通股募集配套资金，募集资金总额不超过</w:t>
      </w:r>
      <w:r>
        <w:rPr>
          <w:bCs/>
          <w:sz w:val="24"/>
          <w:szCs w:val="24"/>
        </w:rPr>
        <w:t>30,000.00</w:t>
      </w:r>
      <w:r>
        <w:rPr>
          <w:bCs/>
          <w:sz w:val="24"/>
          <w:szCs w:val="24"/>
        </w:rPr>
        <w:t>万元。募集配套资金总额不得超过本次交易中以发行股份方式购买标的资产的交易价格的</w:t>
      </w:r>
      <w:r>
        <w:rPr>
          <w:bCs/>
          <w:sz w:val="24"/>
          <w:szCs w:val="24"/>
        </w:rPr>
        <w:t>100%</w:t>
      </w:r>
      <w:r>
        <w:rPr>
          <w:bCs/>
          <w:sz w:val="24"/>
          <w:szCs w:val="24"/>
        </w:rPr>
        <w:t>，且发行股份数量不超过本次交易前公司总股本的</w:t>
      </w:r>
      <w:r>
        <w:rPr>
          <w:bCs/>
          <w:sz w:val="24"/>
          <w:szCs w:val="24"/>
        </w:rPr>
        <w:t>30%</w:t>
      </w:r>
      <w:r>
        <w:rPr>
          <w:bCs/>
          <w:sz w:val="24"/>
          <w:szCs w:val="24"/>
        </w:rPr>
        <w:t>。最终的发行数量及价格按照证券监管机构的相关规定确定。</w:t>
      </w:r>
    </w:p>
    <w:p w14:paraId="00319ADA" w14:textId="77777777" w:rsidR="00000000" w:rsidRDefault="00000000">
      <w:pPr>
        <w:spacing w:before="50" w:after="50" w:line="360" w:lineRule="auto"/>
        <w:ind w:firstLineChars="200" w:firstLine="480"/>
        <w:rPr>
          <w:bCs/>
          <w:sz w:val="24"/>
          <w:szCs w:val="24"/>
        </w:rPr>
      </w:pPr>
      <w:r>
        <w:rPr>
          <w:bCs/>
          <w:sz w:val="24"/>
          <w:szCs w:val="24"/>
        </w:rPr>
        <w:t>本次募集配套资金拟用于支付本次交易的现金对价、支付交易税费与中介费用、补充流动资金和</w:t>
      </w:r>
      <w:r>
        <w:rPr>
          <w:bCs/>
          <w:sz w:val="24"/>
          <w:szCs w:val="24"/>
        </w:rPr>
        <w:t>/</w:t>
      </w:r>
      <w:r>
        <w:rPr>
          <w:bCs/>
          <w:sz w:val="24"/>
          <w:szCs w:val="24"/>
        </w:rPr>
        <w:t>或偿还有息债务等。</w:t>
      </w:r>
    </w:p>
    <w:p w14:paraId="0A0E3BB2"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F14CC5E"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3BF11CEA" w14:textId="77777777" w:rsidR="00000000" w:rsidRDefault="00000000">
      <w:pPr>
        <w:spacing w:before="50" w:after="50" w:line="360" w:lineRule="auto"/>
        <w:ind w:firstLineChars="200" w:firstLine="480"/>
        <w:rPr>
          <w:bCs/>
          <w:sz w:val="24"/>
          <w:szCs w:val="24"/>
        </w:rPr>
      </w:pPr>
      <w:r>
        <w:rPr>
          <w:bCs/>
          <w:sz w:val="24"/>
          <w:szCs w:val="24"/>
        </w:rPr>
        <w:t>表决结果：通过。</w:t>
      </w:r>
    </w:p>
    <w:p w14:paraId="2BEF0158" w14:textId="77777777" w:rsidR="00000000" w:rsidRDefault="00000000">
      <w:pPr>
        <w:numPr>
          <w:ilvl w:val="0"/>
          <w:numId w:val="2"/>
        </w:numPr>
        <w:spacing w:before="50" w:after="50" w:line="360" w:lineRule="auto"/>
        <w:rPr>
          <w:b/>
          <w:bCs/>
          <w:sz w:val="24"/>
          <w:szCs w:val="24"/>
        </w:rPr>
      </w:pPr>
      <w:r>
        <w:rPr>
          <w:b/>
          <w:bCs/>
          <w:sz w:val="24"/>
          <w:szCs w:val="24"/>
        </w:rPr>
        <w:t>具体方案</w:t>
      </w:r>
    </w:p>
    <w:p w14:paraId="0B1359A0" w14:textId="77777777" w:rsidR="00000000" w:rsidRDefault="00000000">
      <w:pPr>
        <w:spacing w:before="50" w:after="50" w:line="360" w:lineRule="auto"/>
        <w:ind w:left="480"/>
        <w:rPr>
          <w:b/>
          <w:bCs/>
          <w:color w:val="000000"/>
          <w:sz w:val="24"/>
        </w:rPr>
      </w:pPr>
      <w:r>
        <w:rPr>
          <w:b/>
          <w:bCs/>
          <w:sz w:val="24"/>
          <w:szCs w:val="24"/>
        </w:rPr>
        <w:lastRenderedPageBreak/>
        <w:t>（</w:t>
      </w:r>
      <w:r>
        <w:rPr>
          <w:b/>
          <w:bCs/>
          <w:sz w:val="24"/>
          <w:szCs w:val="24"/>
        </w:rPr>
        <w:t>1</w:t>
      </w:r>
      <w:r>
        <w:rPr>
          <w:b/>
          <w:bCs/>
          <w:sz w:val="24"/>
          <w:szCs w:val="24"/>
        </w:rPr>
        <w:t>）</w:t>
      </w:r>
      <w:r>
        <w:rPr>
          <w:b/>
          <w:bCs/>
          <w:color w:val="000000"/>
          <w:sz w:val="24"/>
        </w:rPr>
        <w:t>发行股份及支付现金购买资产</w:t>
      </w:r>
    </w:p>
    <w:p w14:paraId="0061FBA3" w14:textId="77777777" w:rsidR="00000000" w:rsidRDefault="00000000">
      <w:pPr>
        <w:spacing w:before="50" w:after="50" w:line="360" w:lineRule="auto"/>
        <w:ind w:left="480"/>
        <w:rPr>
          <w:b/>
          <w:bCs/>
          <w:sz w:val="24"/>
          <w:szCs w:val="24"/>
        </w:rPr>
      </w:pPr>
      <w:r>
        <w:rPr>
          <w:rFonts w:ascii="宋体" w:hAnsi="宋体" w:cs="宋体" w:hint="eastAsia"/>
          <w:b/>
          <w:bCs/>
          <w:sz w:val="24"/>
          <w:szCs w:val="24"/>
        </w:rPr>
        <w:t>①</w:t>
      </w:r>
      <w:r>
        <w:rPr>
          <w:b/>
          <w:bCs/>
          <w:color w:val="000000"/>
          <w:sz w:val="24"/>
        </w:rPr>
        <w:t>交易对价及支付方式</w:t>
      </w:r>
    </w:p>
    <w:p w14:paraId="49FF4BA5" w14:textId="77777777" w:rsidR="00000000" w:rsidRDefault="00000000">
      <w:pPr>
        <w:spacing w:before="50" w:after="50" w:line="360" w:lineRule="auto"/>
        <w:ind w:firstLineChars="200" w:firstLine="480"/>
        <w:rPr>
          <w:bCs/>
          <w:sz w:val="24"/>
          <w:szCs w:val="24"/>
        </w:rPr>
      </w:pPr>
      <w:r>
        <w:rPr>
          <w:bCs/>
          <w:sz w:val="24"/>
          <w:szCs w:val="24"/>
        </w:rPr>
        <w:t>在本次交易中，公司拟以发行股份及支付现金的方式向交易对方支付本次交易对价，具体支付情况如下：</w:t>
      </w:r>
    </w:p>
    <w:p w14:paraId="6205D1F5" w14:textId="77777777" w:rsidR="00000000" w:rsidRDefault="00000000">
      <w:pPr>
        <w:spacing w:line="360" w:lineRule="auto"/>
        <w:ind w:firstLine="420"/>
        <w:jc w:val="right"/>
        <w:rPr>
          <w:color w:val="000000"/>
          <w:szCs w:val="21"/>
        </w:rPr>
      </w:pPr>
      <w:r>
        <w:rPr>
          <w:color w:val="000000"/>
          <w:szCs w:val="21"/>
        </w:rPr>
        <w:t>单位：万元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620"/>
        <w:gridCol w:w="1395"/>
        <w:gridCol w:w="1257"/>
        <w:gridCol w:w="1134"/>
        <w:gridCol w:w="1104"/>
        <w:gridCol w:w="1200"/>
      </w:tblGrid>
      <w:tr w:rsidR="00000000" w14:paraId="3259DF51" w14:textId="77777777">
        <w:trPr>
          <w:trHeight w:val="345"/>
        </w:trPr>
        <w:tc>
          <w:tcPr>
            <w:tcW w:w="540" w:type="dxa"/>
            <w:vMerge w:val="restart"/>
            <w:tcMar>
              <w:left w:w="105" w:type="dxa"/>
              <w:right w:w="105" w:type="dxa"/>
            </w:tcMar>
            <w:vAlign w:val="center"/>
          </w:tcPr>
          <w:p w14:paraId="14548424" w14:textId="77777777" w:rsidR="00000000" w:rsidRDefault="00000000">
            <w:pPr>
              <w:jc w:val="center"/>
              <w:rPr>
                <w:color w:val="000000"/>
                <w:szCs w:val="21"/>
              </w:rPr>
            </w:pPr>
            <w:r>
              <w:rPr>
                <w:b/>
                <w:bCs/>
                <w:color w:val="000000"/>
                <w:szCs w:val="21"/>
              </w:rPr>
              <w:t>序号</w:t>
            </w:r>
          </w:p>
        </w:tc>
        <w:tc>
          <w:tcPr>
            <w:tcW w:w="1620" w:type="dxa"/>
            <w:vMerge w:val="restart"/>
            <w:tcMar>
              <w:left w:w="105" w:type="dxa"/>
              <w:right w:w="105" w:type="dxa"/>
            </w:tcMar>
            <w:vAlign w:val="center"/>
          </w:tcPr>
          <w:p w14:paraId="095E0E48" w14:textId="77777777" w:rsidR="00000000" w:rsidRDefault="00000000">
            <w:pPr>
              <w:jc w:val="center"/>
              <w:rPr>
                <w:color w:val="000000"/>
                <w:szCs w:val="21"/>
              </w:rPr>
            </w:pPr>
            <w:r>
              <w:rPr>
                <w:b/>
                <w:bCs/>
                <w:color w:val="000000"/>
                <w:szCs w:val="21"/>
              </w:rPr>
              <w:t>交易对方</w:t>
            </w:r>
          </w:p>
        </w:tc>
        <w:tc>
          <w:tcPr>
            <w:tcW w:w="1395" w:type="dxa"/>
            <w:vMerge w:val="restart"/>
            <w:tcMar>
              <w:left w:w="105" w:type="dxa"/>
              <w:right w:w="105" w:type="dxa"/>
            </w:tcMar>
            <w:vAlign w:val="center"/>
          </w:tcPr>
          <w:p w14:paraId="78569248" w14:textId="77777777" w:rsidR="00000000" w:rsidRDefault="00000000">
            <w:pPr>
              <w:jc w:val="center"/>
              <w:rPr>
                <w:color w:val="000000"/>
                <w:szCs w:val="21"/>
              </w:rPr>
            </w:pPr>
            <w:r>
              <w:rPr>
                <w:b/>
                <w:bCs/>
                <w:color w:val="000000"/>
                <w:szCs w:val="21"/>
              </w:rPr>
              <w:t>转让贝谷科技股权比例</w:t>
            </w:r>
          </w:p>
        </w:tc>
        <w:tc>
          <w:tcPr>
            <w:tcW w:w="1257" w:type="dxa"/>
            <w:vMerge w:val="restart"/>
            <w:tcMar>
              <w:left w:w="105" w:type="dxa"/>
              <w:right w:w="105" w:type="dxa"/>
            </w:tcMar>
            <w:vAlign w:val="center"/>
          </w:tcPr>
          <w:p w14:paraId="2C36C1DA" w14:textId="77777777" w:rsidR="00000000" w:rsidRDefault="00000000">
            <w:pPr>
              <w:jc w:val="center"/>
              <w:rPr>
                <w:color w:val="000000"/>
                <w:szCs w:val="21"/>
              </w:rPr>
            </w:pPr>
            <w:r>
              <w:rPr>
                <w:b/>
                <w:bCs/>
                <w:color w:val="000000"/>
                <w:szCs w:val="21"/>
              </w:rPr>
              <w:t>因转让标的资产获得对价</w:t>
            </w:r>
          </w:p>
        </w:tc>
        <w:tc>
          <w:tcPr>
            <w:tcW w:w="2238" w:type="dxa"/>
            <w:gridSpan w:val="2"/>
            <w:tcMar>
              <w:left w:w="105" w:type="dxa"/>
              <w:right w:w="105" w:type="dxa"/>
            </w:tcMar>
            <w:vAlign w:val="center"/>
          </w:tcPr>
          <w:p w14:paraId="4BB79F09" w14:textId="77777777" w:rsidR="00000000" w:rsidRDefault="00000000">
            <w:pPr>
              <w:jc w:val="center"/>
              <w:rPr>
                <w:color w:val="000000"/>
                <w:szCs w:val="21"/>
              </w:rPr>
            </w:pPr>
            <w:r>
              <w:rPr>
                <w:b/>
                <w:bCs/>
                <w:color w:val="000000"/>
                <w:szCs w:val="21"/>
              </w:rPr>
              <w:t>支付方式</w:t>
            </w:r>
          </w:p>
        </w:tc>
        <w:tc>
          <w:tcPr>
            <w:tcW w:w="1200" w:type="dxa"/>
            <w:vMerge w:val="restart"/>
            <w:tcMar>
              <w:left w:w="105" w:type="dxa"/>
              <w:right w:w="105" w:type="dxa"/>
            </w:tcMar>
            <w:vAlign w:val="center"/>
          </w:tcPr>
          <w:p w14:paraId="5E5D0A1D" w14:textId="77777777" w:rsidR="00000000" w:rsidRDefault="00000000">
            <w:pPr>
              <w:jc w:val="center"/>
              <w:rPr>
                <w:color w:val="000000"/>
                <w:szCs w:val="21"/>
              </w:rPr>
            </w:pPr>
            <w:r>
              <w:rPr>
                <w:b/>
                <w:bCs/>
                <w:color w:val="000000"/>
                <w:szCs w:val="21"/>
              </w:rPr>
              <w:t>获得股份数（股）</w:t>
            </w:r>
          </w:p>
        </w:tc>
      </w:tr>
      <w:tr w:rsidR="00000000" w14:paraId="4161B37C" w14:textId="77777777">
        <w:trPr>
          <w:trHeight w:val="345"/>
        </w:trPr>
        <w:tc>
          <w:tcPr>
            <w:tcW w:w="540" w:type="dxa"/>
            <w:vMerge/>
            <w:vAlign w:val="center"/>
          </w:tcPr>
          <w:p w14:paraId="3CD8E5AA" w14:textId="77777777" w:rsidR="00000000" w:rsidRDefault="00000000">
            <w:pPr>
              <w:rPr>
                <w:color w:val="000000"/>
              </w:rPr>
            </w:pPr>
          </w:p>
        </w:tc>
        <w:tc>
          <w:tcPr>
            <w:tcW w:w="1620" w:type="dxa"/>
            <w:vMerge/>
            <w:vAlign w:val="center"/>
          </w:tcPr>
          <w:p w14:paraId="67EF9049" w14:textId="77777777" w:rsidR="00000000" w:rsidRDefault="00000000">
            <w:pPr>
              <w:rPr>
                <w:color w:val="000000"/>
              </w:rPr>
            </w:pPr>
          </w:p>
        </w:tc>
        <w:tc>
          <w:tcPr>
            <w:tcW w:w="1395" w:type="dxa"/>
            <w:vMerge/>
            <w:vAlign w:val="center"/>
          </w:tcPr>
          <w:p w14:paraId="6C7F1F14" w14:textId="77777777" w:rsidR="00000000" w:rsidRDefault="00000000">
            <w:pPr>
              <w:rPr>
                <w:color w:val="000000"/>
              </w:rPr>
            </w:pPr>
          </w:p>
        </w:tc>
        <w:tc>
          <w:tcPr>
            <w:tcW w:w="1257" w:type="dxa"/>
            <w:vMerge/>
            <w:vAlign w:val="center"/>
          </w:tcPr>
          <w:p w14:paraId="63D824F2" w14:textId="77777777" w:rsidR="00000000" w:rsidRDefault="00000000">
            <w:pPr>
              <w:rPr>
                <w:color w:val="000000"/>
              </w:rPr>
            </w:pPr>
          </w:p>
        </w:tc>
        <w:tc>
          <w:tcPr>
            <w:tcW w:w="1134" w:type="dxa"/>
            <w:tcMar>
              <w:left w:w="105" w:type="dxa"/>
              <w:right w:w="105" w:type="dxa"/>
            </w:tcMar>
            <w:vAlign w:val="center"/>
          </w:tcPr>
          <w:p w14:paraId="760E3A4B" w14:textId="77777777" w:rsidR="00000000" w:rsidRDefault="00000000">
            <w:pPr>
              <w:jc w:val="center"/>
              <w:rPr>
                <w:color w:val="000000"/>
                <w:szCs w:val="21"/>
              </w:rPr>
            </w:pPr>
            <w:r>
              <w:rPr>
                <w:b/>
                <w:bCs/>
                <w:color w:val="000000"/>
                <w:szCs w:val="21"/>
              </w:rPr>
              <w:t>现金支付</w:t>
            </w:r>
            <w:r>
              <w:rPr>
                <w:b/>
                <w:bCs/>
                <w:color w:val="000000"/>
                <w:kern w:val="0"/>
                <w:szCs w:val="21"/>
              </w:rPr>
              <w:t>（</w:t>
            </w:r>
            <w:r>
              <w:rPr>
                <w:b/>
                <w:bCs/>
                <w:color w:val="000000"/>
                <w:kern w:val="0"/>
                <w:szCs w:val="21"/>
              </w:rPr>
              <w:t>30%</w:t>
            </w:r>
            <w:r>
              <w:rPr>
                <w:b/>
                <w:bCs/>
                <w:color w:val="000000"/>
                <w:kern w:val="0"/>
                <w:szCs w:val="21"/>
              </w:rPr>
              <w:t>）</w:t>
            </w:r>
          </w:p>
        </w:tc>
        <w:tc>
          <w:tcPr>
            <w:tcW w:w="1104" w:type="dxa"/>
            <w:tcMar>
              <w:left w:w="105" w:type="dxa"/>
              <w:right w:w="105" w:type="dxa"/>
            </w:tcMar>
            <w:vAlign w:val="center"/>
          </w:tcPr>
          <w:p w14:paraId="1ADF3C0B" w14:textId="77777777" w:rsidR="00000000" w:rsidRDefault="00000000">
            <w:pPr>
              <w:jc w:val="center"/>
              <w:rPr>
                <w:color w:val="000000"/>
                <w:szCs w:val="21"/>
              </w:rPr>
            </w:pPr>
            <w:r>
              <w:rPr>
                <w:b/>
                <w:bCs/>
                <w:color w:val="000000"/>
                <w:szCs w:val="21"/>
              </w:rPr>
              <w:t>股份支付</w:t>
            </w:r>
            <w:r>
              <w:rPr>
                <w:b/>
                <w:bCs/>
                <w:color w:val="000000"/>
                <w:kern w:val="0"/>
                <w:szCs w:val="21"/>
              </w:rPr>
              <w:t>（</w:t>
            </w:r>
            <w:r>
              <w:rPr>
                <w:b/>
                <w:bCs/>
                <w:color w:val="000000"/>
                <w:kern w:val="0"/>
                <w:szCs w:val="21"/>
              </w:rPr>
              <w:t>70%</w:t>
            </w:r>
            <w:r>
              <w:rPr>
                <w:b/>
                <w:bCs/>
                <w:color w:val="000000"/>
                <w:kern w:val="0"/>
                <w:szCs w:val="21"/>
              </w:rPr>
              <w:t>）</w:t>
            </w:r>
          </w:p>
        </w:tc>
        <w:tc>
          <w:tcPr>
            <w:tcW w:w="1200" w:type="dxa"/>
            <w:vMerge/>
            <w:vAlign w:val="center"/>
          </w:tcPr>
          <w:p w14:paraId="010F41F3" w14:textId="77777777" w:rsidR="00000000" w:rsidRDefault="00000000">
            <w:pPr>
              <w:rPr>
                <w:color w:val="000000"/>
              </w:rPr>
            </w:pPr>
          </w:p>
        </w:tc>
      </w:tr>
      <w:tr w:rsidR="00000000" w14:paraId="2260D50C" w14:textId="77777777">
        <w:trPr>
          <w:trHeight w:val="345"/>
        </w:trPr>
        <w:tc>
          <w:tcPr>
            <w:tcW w:w="540" w:type="dxa"/>
            <w:tcMar>
              <w:left w:w="105" w:type="dxa"/>
              <w:right w:w="105" w:type="dxa"/>
            </w:tcMar>
            <w:vAlign w:val="center"/>
          </w:tcPr>
          <w:p w14:paraId="5C2F7C54" w14:textId="77777777" w:rsidR="00000000" w:rsidRDefault="00000000">
            <w:pPr>
              <w:jc w:val="center"/>
              <w:rPr>
                <w:rFonts w:eastAsia="Times New Roman"/>
                <w:color w:val="000000"/>
                <w:szCs w:val="21"/>
              </w:rPr>
            </w:pPr>
            <w:r>
              <w:rPr>
                <w:rFonts w:eastAsia="Times New Roman"/>
                <w:color w:val="000000"/>
                <w:szCs w:val="21"/>
              </w:rPr>
              <w:t>1</w:t>
            </w:r>
          </w:p>
        </w:tc>
        <w:tc>
          <w:tcPr>
            <w:tcW w:w="1620" w:type="dxa"/>
            <w:tcMar>
              <w:left w:w="105" w:type="dxa"/>
              <w:right w:w="105" w:type="dxa"/>
            </w:tcMar>
            <w:vAlign w:val="center"/>
          </w:tcPr>
          <w:p w14:paraId="24C1977B" w14:textId="77777777" w:rsidR="00000000" w:rsidRDefault="00000000">
            <w:pPr>
              <w:jc w:val="center"/>
              <w:rPr>
                <w:color w:val="000000"/>
                <w:szCs w:val="21"/>
              </w:rPr>
            </w:pPr>
            <w:r>
              <w:rPr>
                <w:color w:val="000000"/>
                <w:szCs w:val="21"/>
              </w:rPr>
              <w:t>核技术公司</w:t>
            </w:r>
          </w:p>
        </w:tc>
        <w:tc>
          <w:tcPr>
            <w:tcW w:w="1395" w:type="dxa"/>
            <w:tcMar>
              <w:left w:w="105" w:type="dxa"/>
              <w:right w:w="105" w:type="dxa"/>
            </w:tcMar>
            <w:vAlign w:val="center"/>
          </w:tcPr>
          <w:p w14:paraId="31DD11EA" w14:textId="77777777" w:rsidR="00000000" w:rsidRDefault="00000000">
            <w:pPr>
              <w:jc w:val="center"/>
              <w:rPr>
                <w:rFonts w:eastAsia="Times New Roman"/>
                <w:color w:val="000000"/>
                <w:szCs w:val="21"/>
              </w:rPr>
            </w:pPr>
            <w:r>
              <w:rPr>
                <w:rFonts w:eastAsia="Times New Roman"/>
                <w:color w:val="000000"/>
                <w:szCs w:val="21"/>
              </w:rPr>
              <w:t>30%</w:t>
            </w:r>
          </w:p>
        </w:tc>
        <w:tc>
          <w:tcPr>
            <w:tcW w:w="1257" w:type="dxa"/>
            <w:tcMar>
              <w:left w:w="105" w:type="dxa"/>
              <w:right w:w="105" w:type="dxa"/>
            </w:tcMar>
            <w:vAlign w:val="center"/>
          </w:tcPr>
          <w:p w14:paraId="09051BBF" w14:textId="77777777" w:rsidR="00000000" w:rsidRDefault="00000000">
            <w:pPr>
              <w:jc w:val="right"/>
              <w:rPr>
                <w:rFonts w:eastAsia="Times New Roman"/>
                <w:color w:val="000000"/>
                <w:szCs w:val="21"/>
              </w:rPr>
            </w:pPr>
            <w:r>
              <w:rPr>
                <w:color w:val="000000"/>
                <w:kern w:val="0"/>
                <w:szCs w:val="21"/>
              </w:rPr>
              <w:t>18,795.00</w:t>
            </w:r>
          </w:p>
        </w:tc>
        <w:tc>
          <w:tcPr>
            <w:tcW w:w="1134" w:type="dxa"/>
            <w:tcMar>
              <w:left w:w="105" w:type="dxa"/>
              <w:right w:w="105" w:type="dxa"/>
            </w:tcMar>
            <w:vAlign w:val="center"/>
          </w:tcPr>
          <w:p w14:paraId="24062AC8" w14:textId="77777777" w:rsidR="00000000" w:rsidRDefault="00000000">
            <w:pPr>
              <w:jc w:val="right"/>
              <w:rPr>
                <w:rFonts w:eastAsia="Times New Roman"/>
                <w:color w:val="000000"/>
                <w:szCs w:val="21"/>
              </w:rPr>
            </w:pPr>
            <w:r>
              <w:rPr>
                <w:color w:val="000000"/>
                <w:kern w:val="0"/>
                <w:szCs w:val="21"/>
              </w:rPr>
              <w:t>5,638.50</w:t>
            </w:r>
          </w:p>
        </w:tc>
        <w:tc>
          <w:tcPr>
            <w:tcW w:w="1104" w:type="dxa"/>
            <w:tcMar>
              <w:left w:w="105" w:type="dxa"/>
              <w:right w:w="105" w:type="dxa"/>
            </w:tcMar>
            <w:vAlign w:val="center"/>
          </w:tcPr>
          <w:p w14:paraId="1BA3FD92" w14:textId="77777777" w:rsidR="00000000" w:rsidRDefault="00000000">
            <w:pPr>
              <w:jc w:val="right"/>
              <w:rPr>
                <w:rFonts w:eastAsia="Times New Roman"/>
                <w:color w:val="000000"/>
                <w:szCs w:val="21"/>
              </w:rPr>
            </w:pPr>
            <w:r>
              <w:rPr>
                <w:color w:val="000000"/>
                <w:kern w:val="0"/>
                <w:szCs w:val="21"/>
              </w:rPr>
              <w:t>13,156.50</w:t>
            </w:r>
          </w:p>
        </w:tc>
        <w:tc>
          <w:tcPr>
            <w:tcW w:w="1200" w:type="dxa"/>
            <w:tcMar>
              <w:left w:w="105" w:type="dxa"/>
              <w:right w:w="105" w:type="dxa"/>
            </w:tcMar>
            <w:vAlign w:val="center"/>
          </w:tcPr>
          <w:p w14:paraId="7D438561" w14:textId="77777777" w:rsidR="00000000" w:rsidRDefault="00000000">
            <w:pPr>
              <w:jc w:val="right"/>
              <w:rPr>
                <w:color w:val="000000"/>
                <w:szCs w:val="21"/>
              </w:rPr>
            </w:pPr>
            <w:r>
              <w:rPr>
                <w:rFonts w:hint="eastAsia"/>
                <w:color w:val="000000"/>
                <w:kern w:val="0"/>
                <w:szCs w:val="21"/>
              </w:rPr>
              <w:t>1</w:t>
            </w:r>
            <w:r>
              <w:rPr>
                <w:color w:val="000000"/>
                <w:kern w:val="0"/>
                <w:szCs w:val="21"/>
              </w:rPr>
              <w:t>9,665,919</w:t>
            </w:r>
          </w:p>
        </w:tc>
      </w:tr>
      <w:tr w:rsidR="00000000" w14:paraId="4A11D76A" w14:textId="77777777">
        <w:trPr>
          <w:trHeight w:val="345"/>
        </w:trPr>
        <w:tc>
          <w:tcPr>
            <w:tcW w:w="540" w:type="dxa"/>
            <w:tcMar>
              <w:left w:w="105" w:type="dxa"/>
              <w:right w:w="105" w:type="dxa"/>
            </w:tcMar>
            <w:vAlign w:val="center"/>
          </w:tcPr>
          <w:p w14:paraId="77D9FC1B" w14:textId="77777777" w:rsidR="00000000" w:rsidRDefault="00000000">
            <w:pPr>
              <w:jc w:val="center"/>
              <w:rPr>
                <w:rFonts w:eastAsia="Times New Roman"/>
                <w:color w:val="000000"/>
                <w:szCs w:val="21"/>
              </w:rPr>
            </w:pPr>
            <w:r>
              <w:rPr>
                <w:rFonts w:eastAsia="Times New Roman"/>
                <w:color w:val="000000"/>
                <w:szCs w:val="21"/>
              </w:rPr>
              <w:t>2</w:t>
            </w:r>
          </w:p>
        </w:tc>
        <w:tc>
          <w:tcPr>
            <w:tcW w:w="1620" w:type="dxa"/>
            <w:tcMar>
              <w:left w:w="105" w:type="dxa"/>
              <w:right w:w="105" w:type="dxa"/>
            </w:tcMar>
            <w:vAlign w:val="center"/>
          </w:tcPr>
          <w:p w14:paraId="00A99458" w14:textId="77777777" w:rsidR="00000000" w:rsidRDefault="00000000">
            <w:pPr>
              <w:jc w:val="center"/>
              <w:rPr>
                <w:color w:val="000000"/>
                <w:szCs w:val="21"/>
              </w:rPr>
            </w:pPr>
            <w:r>
              <w:rPr>
                <w:color w:val="000000"/>
                <w:szCs w:val="21"/>
              </w:rPr>
              <w:t>云科通</w:t>
            </w:r>
          </w:p>
        </w:tc>
        <w:tc>
          <w:tcPr>
            <w:tcW w:w="1395" w:type="dxa"/>
            <w:tcMar>
              <w:left w:w="105" w:type="dxa"/>
              <w:right w:w="105" w:type="dxa"/>
            </w:tcMar>
            <w:vAlign w:val="center"/>
          </w:tcPr>
          <w:p w14:paraId="04ACA341" w14:textId="77777777" w:rsidR="00000000" w:rsidRDefault="00000000">
            <w:pPr>
              <w:jc w:val="center"/>
              <w:rPr>
                <w:rFonts w:eastAsia="Times New Roman"/>
                <w:color w:val="000000"/>
                <w:szCs w:val="21"/>
              </w:rPr>
            </w:pPr>
            <w:r>
              <w:rPr>
                <w:rFonts w:eastAsia="Times New Roman"/>
                <w:color w:val="000000"/>
                <w:szCs w:val="21"/>
              </w:rPr>
              <w:t>49%</w:t>
            </w:r>
          </w:p>
        </w:tc>
        <w:tc>
          <w:tcPr>
            <w:tcW w:w="1257" w:type="dxa"/>
            <w:tcMar>
              <w:left w:w="105" w:type="dxa"/>
              <w:right w:w="105" w:type="dxa"/>
            </w:tcMar>
            <w:vAlign w:val="center"/>
          </w:tcPr>
          <w:p w14:paraId="6DFF9954" w14:textId="77777777" w:rsidR="00000000" w:rsidRDefault="00000000">
            <w:pPr>
              <w:jc w:val="right"/>
              <w:rPr>
                <w:rFonts w:eastAsia="Times New Roman"/>
                <w:color w:val="000000"/>
                <w:szCs w:val="21"/>
              </w:rPr>
            </w:pPr>
            <w:r>
              <w:rPr>
                <w:color w:val="000000"/>
                <w:kern w:val="0"/>
                <w:szCs w:val="21"/>
              </w:rPr>
              <w:t>30,698.50</w:t>
            </w:r>
          </w:p>
        </w:tc>
        <w:tc>
          <w:tcPr>
            <w:tcW w:w="1134" w:type="dxa"/>
            <w:tcMar>
              <w:left w:w="105" w:type="dxa"/>
              <w:right w:w="105" w:type="dxa"/>
            </w:tcMar>
            <w:vAlign w:val="center"/>
          </w:tcPr>
          <w:p w14:paraId="01AA1101" w14:textId="77777777" w:rsidR="00000000" w:rsidRDefault="00000000">
            <w:pPr>
              <w:jc w:val="right"/>
              <w:rPr>
                <w:rFonts w:eastAsia="Times New Roman"/>
                <w:color w:val="000000"/>
                <w:szCs w:val="21"/>
              </w:rPr>
            </w:pPr>
            <w:r>
              <w:rPr>
                <w:color w:val="000000"/>
                <w:kern w:val="0"/>
                <w:szCs w:val="21"/>
              </w:rPr>
              <w:t>9,209.55</w:t>
            </w:r>
          </w:p>
        </w:tc>
        <w:tc>
          <w:tcPr>
            <w:tcW w:w="1104" w:type="dxa"/>
            <w:tcMar>
              <w:left w:w="105" w:type="dxa"/>
              <w:right w:w="105" w:type="dxa"/>
            </w:tcMar>
            <w:vAlign w:val="center"/>
          </w:tcPr>
          <w:p w14:paraId="745B13B9" w14:textId="77777777" w:rsidR="00000000" w:rsidRDefault="00000000">
            <w:pPr>
              <w:jc w:val="right"/>
              <w:rPr>
                <w:rFonts w:eastAsia="Times New Roman"/>
                <w:color w:val="000000"/>
                <w:szCs w:val="21"/>
              </w:rPr>
            </w:pPr>
            <w:r>
              <w:rPr>
                <w:color w:val="000000"/>
                <w:kern w:val="0"/>
                <w:szCs w:val="21"/>
              </w:rPr>
              <w:t>21,488.95</w:t>
            </w:r>
          </w:p>
        </w:tc>
        <w:tc>
          <w:tcPr>
            <w:tcW w:w="1200" w:type="dxa"/>
            <w:tcMar>
              <w:left w:w="105" w:type="dxa"/>
              <w:right w:w="105" w:type="dxa"/>
            </w:tcMar>
            <w:vAlign w:val="center"/>
          </w:tcPr>
          <w:p w14:paraId="6510A188" w14:textId="77777777" w:rsidR="00000000" w:rsidRDefault="00000000">
            <w:pPr>
              <w:jc w:val="right"/>
              <w:rPr>
                <w:color w:val="000000"/>
                <w:szCs w:val="21"/>
              </w:rPr>
            </w:pPr>
            <w:r>
              <w:rPr>
                <w:color w:val="000000"/>
                <w:kern w:val="0"/>
                <w:szCs w:val="21"/>
              </w:rPr>
              <w:t>32,121,001</w:t>
            </w:r>
          </w:p>
        </w:tc>
      </w:tr>
      <w:tr w:rsidR="00000000" w14:paraId="1538BB96" w14:textId="77777777">
        <w:trPr>
          <w:trHeight w:val="345"/>
        </w:trPr>
        <w:tc>
          <w:tcPr>
            <w:tcW w:w="2160" w:type="dxa"/>
            <w:gridSpan w:val="2"/>
            <w:tcMar>
              <w:left w:w="105" w:type="dxa"/>
              <w:right w:w="105" w:type="dxa"/>
            </w:tcMar>
            <w:vAlign w:val="center"/>
          </w:tcPr>
          <w:p w14:paraId="2981E4C3" w14:textId="77777777" w:rsidR="00000000" w:rsidRDefault="00000000">
            <w:pPr>
              <w:jc w:val="center"/>
              <w:rPr>
                <w:color w:val="000000"/>
                <w:szCs w:val="21"/>
              </w:rPr>
            </w:pPr>
            <w:r>
              <w:rPr>
                <w:b/>
                <w:bCs/>
                <w:color w:val="000000"/>
                <w:szCs w:val="21"/>
              </w:rPr>
              <w:t>合计</w:t>
            </w:r>
          </w:p>
        </w:tc>
        <w:tc>
          <w:tcPr>
            <w:tcW w:w="1395" w:type="dxa"/>
            <w:tcMar>
              <w:left w:w="105" w:type="dxa"/>
              <w:right w:w="105" w:type="dxa"/>
            </w:tcMar>
            <w:vAlign w:val="center"/>
          </w:tcPr>
          <w:p w14:paraId="7731CBDA" w14:textId="77777777" w:rsidR="00000000" w:rsidRDefault="00000000">
            <w:pPr>
              <w:jc w:val="center"/>
              <w:rPr>
                <w:rFonts w:eastAsia="Times New Roman"/>
                <w:color w:val="000000"/>
                <w:szCs w:val="21"/>
              </w:rPr>
            </w:pPr>
            <w:r>
              <w:rPr>
                <w:rFonts w:eastAsia="Times New Roman"/>
                <w:b/>
                <w:bCs/>
                <w:color w:val="000000"/>
                <w:szCs w:val="21"/>
              </w:rPr>
              <w:t>79.00%</w:t>
            </w:r>
          </w:p>
        </w:tc>
        <w:tc>
          <w:tcPr>
            <w:tcW w:w="1257" w:type="dxa"/>
            <w:tcMar>
              <w:left w:w="105" w:type="dxa"/>
              <w:right w:w="105" w:type="dxa"/>
            </w:tcMar>
            <w:vAlign w:val="center"/>
          </w:tcPr>
          <w:p w14:paraId="4C66612E" w14:textId="77777777" w:rsidR="00000000" w:rsidRDefault="00000000">
            <w:pPr>
              <w:jc w:val="right"/>
              <w:rPr>
                <w:rFonts w:eastAsia="Times New Roman"/>
                <w:color w:val="000000"/>
                <w:szCs w:val="21"/>
              </w:rPr>
            </w:pPr>
            <w:r>
              <w:rPr>
                <w:b/>
                <w:bCs/>
                <w:color w:val="000000"/>
                <w:kern w:val="0"/>
                <w:szCs w:val="21"/>
              </w:rPr>
              <w:t>49,493.50</w:t>
            </w:r>
          </w:p>
        </w:tc>
        <w:tc>
          <w:tcPr>
            <w:tcW w:w="1134" w:type="dxa"/>
            <w:tcMar>
              <w:left w:w="105" w:type="dxa"/>
              <w:right w:w="105" w:type="dxa"/>
            </w:tcMar>
            <w:vAlign w:val="center"/>
          </w:tcPr>
          <w:p w14:paraId="0EAB0CA3" w14:textId="77777777" w:rsidR="00000000" w:rsidRDefault="00000000">
            <w:pPr>
              <w:jc w:val="right"/>
              <w:rPr>
                <w:rFonts w:eastAsia="Times New Roman"/>
                <w:color w:val="000000"/>
                <w:szCs w:val="21"/>
              </w:rPr>
            </w:pPr>
            <w:r>
              <w:rPr>
                <w:b/>
                <w:bCs/>
                <w:color w:val="000000"/>
                <w:kern w:val="0"/>
                <w:szCs w:val="21"/>
              </w:rPr>
              <w:t>14,848.05</w:t>
            </w:r>
          </w:p>
        </w:tc>
        <w:tc>
          <w:tcPr>
            <w:tcW w:w="1104" w:type="dxa"/>
            <w:tcMar>
              <w:left w:w="105" w:type="dxa"/>
              <w:right w:w="105" w:type="dxa"/>
            </w:tcMar>
            <w:vAlign w:val="center"/>
          </w:tcPr>
          <w:p w14:paraId="53108468" w14:textId="77777777" w:rsidR="00000000" w:rsidRDefault="00000000">
            <w:pPr>
              <w:jc w:val="right"/>
              <w:rPr>
                <w:rFonts w:eastAsia="Times New Roman"/>
                <w:color w:val="000000"/>
                <w:szCs w:val="21"/>
              </w:rPr>
            </w:pPr>
            <w:r>
              <w:rPr>
                <w:b/>
                <w:bCs/>
                <w:color w:val="000000"/>
                <w:kern w:val="0"/>
                <w:szCs w:val="21"/>
              </w:rPr>
              <w:t>34,645.45</w:t>
            </w:r>
          </w:p>
        </w:tc>
        <w:tc>
          <w:tcPr>
            <w:tcW w:w="1200" w:type="dxa"/>
            <w:tcMar>
              <w:left w:w="105" w:type="dxa"/>
              <w:right w:w="105" w:type="dxa"/>
            </w:tcMar>
            <w:vAlign w:val="center"/>
          </w:tcPr>
          <w:p w14:paraId="3BB476A7" w14:textId="77777777" w:rsidR="00000000" w:rsidRDefault="00000000">
            <w:pPr>
              <w:jc w:val="right"/>
              <w:rPr>
                <w:color w:val="000000"/>
                <w:szCs w:val="21"/>
              </w:rPr>
            </w:pPr>
            <w:r>
              <w:rPr>
                <w:rFonts w:hint="eastAsia"/>
                <w:b/>
                <w:bCs/>
                <w:color w:val="000000"/>
                <w:kern w:val="0"/>
                <w:szCs w:val="21"/>
              </w:rPr>
              <w:t>51,786,920</w:t>
            </w:r>
          </w:p>
        </w:tc>
      </w:tr>
    </w:tbl>
    <w:p w14:paraId="3C8137F1" w14:textId="77777777" w:rsidR="00000000" w:rsidRDefault="00000000">
      <w:pPr>
        <w:spacing w:before="50" w:after="50" w:line="360" w:lineRule="auto"/>
        <w:ind w:firstLineChars="200" w:firstLine="480"/>
        <w:rPr>
          <w:bCs/>
          <w:sz w:val="24"/>
          <w:szCs w:val="24"/>
        </w:rPr>
      </w:pPr>
      <w:r>
        <w:rPr>
          <w:bCs/>
          <w:sz w:val="24"/>
          <w:szCs w:val="24"/>
        </w:rPr>
        <w:t>综上，本次交易标的资产作价</w:t>
      </w:r>
      <w:r>
        <w:rPr>
          <w:bCs/>
          <w:sz w:val="24"/>
          <w:szCs w:val="24"/>
        </w:rPr>
        <w:t>49,493.50</w:t>
      </w:r>
      <w:r>
        <w:rPr>
          <w:bCs/>
          <w:sz w:val="24"/>
          <w:szCs w:val="24"/>
        </w:rPr>
        <w:t>万元，其中，现金支付对价为</w:t>
      </w:r>
      <w:r>
        <w:rPr>
          <w:bCs/>
          <w:sz w:val="24"/>
          <w:szCs w:val="24"/>
        </w:rPr>
        <w:t>14,848.05</w:t>
      </w:r>
      <w:r>
        <w:rPr>
          <w:bCs/>
          <w:sz w:val="24"/>
          <w:szCs w:val="24"/>
        </w:rPr>
        <w:t>万元，股份支付对价为</w:t>
      </w:r>
      <w:r>
        <w:rPr>
          <w:bCs/>
          <w:sz w:val="24"/>
          <w:szCs w:val="24"/>
        </w:rPr>
        <w:t>34,645.45</w:t>
      </w:r>
      <w:r>
        <w:rPr>
          <w:bCs/>
          <w:sz w:val="24"/>
          <w:szCs w:val="24"/>
        </w:rPr>
        <w:t>万元。</w:t>
      </w:r>
    </w:p>
    <w:p w14:paraId="444BF935"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31A44C3C"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070D5572" w14:textId="77777777" w:rsidR="00000000" w:rsidRDefault="00000000">
      <w:pPr>
        <w:spacing w:before="50" w:after="50" w:line="360" w:lineRule="auto"/>
        <w:ind w:firstLineChars="200" w:firstLine="480"/>
        <w:rPr>
          <w:bCs/>
          <w:sz w:val="24"/>
          <w:szCs w:val="24"/>
        </w:rPr>
      </w:pPr>
      <w:r>
        <w:rPr>
          <w:bCs/>
          <w:sz w:val="24"/>
          <w:szCs w:val="24"/>
        </w:rPr>
        <w:t>表决结果：通过。</w:t>
      </w:r>
    </w:p>
    <w:p w14:paraId="25939A02" w14:textId="77777777" w:rsidR="00000000" w:rsidRDefault="00000000">
      <w:pPr>
        <w:spacing w:before="50" w:after="50" w:line="360" w:lineRule="auto"/>
        <w:ind w:firstLineChars="200" w:firstLine="482"/>
        <w:rPr>
          <w:b/>
          <w:bCs/>
          <w:color w:val="000000"/>
          <w:sz w:val="24"/>
        </w:rPr>
      </w:pPr>
      <w:r>
        <w:rPr>
          <w:rFonts w:ascii="宋体" w:hAnsi="宋体" w:cs="宋体" w:hint="eastAsia"/>
          <w:b/>
          <w:sz w:val="24"/>
          <w:szCs w:val="24"/>
        </w:rPr>
        <w:t>②</w:t>
      </w:r>
      <w:r>
        <w:rPr>
          <w:b/>
          <w:bCs/>
          <w:color w:val="000000"/>
          <w:sz w:val="24"/>
        </w:rPr>
        <w:t>股份发行价格、定价原则及合理性分析</w:t>
      </w:r>
    </w:p>
    <w:p w14:paraId="2A87FCEB" w14:textId="77777777" w:rsidR="00000000" w:rsidRDefault="00000000">
      <w:pPr>
        <w:numPr>
          <w:ilvl w:val="0"/>
          <w:numId w:val="3"/>
        </w:numPr>
        <w:spacing w:before="50" w:after="50" w:line="360" w:lineRule="auto"/>
        <w:rPr>
          <w:b/>
          <w:bCs/>
          <w:color w:val="000000"/>
          <w:sz w:val="24"/>
        </w:rPr>
      </w:pPr>
      <w:r>
        <w:rPr>
          <w:b/>
          <w:bCs/>
          <w:color w:val="000000"/>
          <w:sz w:val="24"/>
        </w:rPr>
        <w:t>发行价格及定价原则</w:t>
      </w:r>
    </w:p>
    <w:p w14:paraId="3DFE9412" w14:textId="77777777" w:rsidR="00000000" w:rsidRDefault="00000000">
      <w:pPr>
        <w:spacing w:before="50" w:after="50" w:line="360" w:lineRule="auto"/>
        <w:ind w:firstLineChars="200" w:firstLine="480"/>
        <w:rPr>
          <w:bCs/>
          <w:sz w:val="24"/>
          <w:szCs w:val="24"/>
        </w:rPr>
      </w:pPr>
      <w:r>
        <w:rPr>
          <w:bCs/>
          <w:sz w:val="24"/>
          <w:szCs w:val="24"/>
        </w:rPr>
        <w:t>根据《上市公司重大资产重组管理办法》第四十五条规定，公司发行股份的价格不得低于市场参考价的</w:t>
      </w:r>
      <w:r>
        <w:rPr>
          <w:bCs/>
          <w:sz w:val="24"/>
          <w:szCs w:val="24"/>
        </w:rPr>
        <w:t>80%</w:t>
      </w:r>
      <w:r>
        <w:rPr>
          <w:bCs/>
          <w:sz w:val="24"/>
          <w:szCs w:val="24"/>
        </w:rPr>
        <w:t>。市场参考价为本次发行股份购买资产的董事会决议公告日前</w:t>
      </w:r>
      <w:r>
        <w:rPr>
          <w:bCs/>
          <w:sz w:val="24"/>
          <w:szCs w:val="24"/>
        </w:rPr>
        <w:t>20</w:t>
      </w:r>
      <w:r>
        <w:rPr>
          <w:bCs/>
          <w:sz w:val="24"/>
          <w:szCs w:val="24"/>
        </w:rPr>
        <w:t>个交易日、</w:t>
      </w:r>
      <w:r>
        <w:rPr>
          <w:bCs/>
          <w:sz w:val="24"/>
          <w:szCs w:val="24"/>
        </w:rPr>
        <w:t>60</w:t>
      </w:r>
      <w:r>
        <w:rPr>
          <w:bCs/>
          <w:sz w:val="24"/>
          <w:szCs w:val="24"/>
        </w:rPr>
        <w:t>个交易日或者</w:t>
      </w:r>
      <w:r>
        <w:rPr>
          <w:bCs/>
          <w:sz w:val="24"/>
          <w:szCs w:val="24"/>
        </w:rPr>
        <w:t>120</w:t>
      </w:r>
      <w:r>
        <w:rPr>
          <w:bCs/>
          <w:sz w:val="24"/>
          <w:szCs w:val="24"/>
        </w:rPr>
        <w:t>个交易日的公司</w:t>
      </w:r>
      <w:r>
        <w:rPr>
          <w:bCs/>
          <w:sz w:val="24"/>
          <w:szCs w:val="24"/>
        </w:rPr>
        <w:t>A</w:t>
      </w:r>
      <w:r>
        <w:rPr>
          <w:bCs/>
          <w:sz w:val="24"/>
          <w:szCs w:val="24"/>
        </w:rPr>
        <w:t>股股票交易均价之一。</w:t>
      </w:r>
      <w:bookmarkStart w:id="1" w:name="_Hlk128937653"/>
    </w:p>
    <w:bookmarkEnd w:id="1"/>
    <w:p w14:paraId="6A834211" w14:textId="77777777" w:rsidR="00000000" w:rsidRDefault="00000000">
      <w:pPr>
        <w:spacing w:before="50" w:after="50" w:line="360" w:lineRule="auto"/>
        <w:ind w:firstLineChars="200" w:firstLine="480"/>
        <w:rPr>
          <w:bCs/>
          <w:sz w:val="24"/>
          <w:szCs w:val="24"/>
        </w:rPr>
      </w:pPr>
      <w:r>
        <w:rPr>
          <w:bCs/>
          <w:sz w:val="24"/>
          <w:szCs w:val="24"/>
        </w:rPr>
        <w:t>本次购买资产发行股份的定价基准日为公司第十届董事会第</w:t>
      </w:r>
      <w:r>
        <w:rPr>
          <w:rFonts w:hint="eastAsia"/>
          <w:bCs/>
          <w:sz w:val="24"/>
          <w:szCs w:val="24"/>
        </w:rPr>
        <w:t>九</w:t>
      </w:r>
      <w:r>
        <w:rPr>
          <w:bCs/>
          <w:sz w:val="24"/>
          <w:szCs w:val="24"/>
        </w:rPr>
        <w:t>次会议决议公告日。公司定价基准日前</w:t>
      </w:r>
      <w:r>
        <w:rPr>
          <w:bCs/>
          <w:sz w:val="24"/>
          <w:szCs w:val="24"/>
        </w:rPr>
        <w:t>20</w:t>
      </w:r>
      <w:r>
        <w:rPr>
          <w:bCs/>
          <w:sz w:val="24"/>
          <w:szCs w:val="24"/>
        </w:rPr>
        <w:t>个交易日、</w:t>
      </w:r>
      <w:r>
        <w:rPr>
          <w:bCs/>
          <w:sz w:val="24"/>
          <w:szCs w:val="24"/>
        </w:rPr>
        <w:t>60</w:t>
      </w:r>
      <w:r>
        <w:rPr>
          <w:bCs/>
          <w:sz w:val="24"/>
          <w:szCs w:val="24"/>
        </w:rPr>
        <w:t>个交易日、</w:t>
      </w:r>
      <w:r>
        <w:rPr>
          <w:bCs/>
          <w:sz w:val="24"/>
          <w:szCs w:val="24"/>
        </w:rPr>
        <w:t>120</w:t>
      </w:r>
      <w:r>
        <w:rPr>
          <w:bCs/>
          <w:sz w:val="24"/>
          <w:szCs w:val="24"/>
        </w:rPr>
        <w:t>个交易日股票交易均价具体情况如下表所示：</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2760"/>
        <w:gridCol w:w="2760"/>
      </w:tblGrid>
      <w:tr w:rsidR="00000000" w14:paraId="4D7F4569" w14:textId="77777777">
        <w:trPr>
          <w:trHeight w:val="345"/>
        </w:trPr>
        <w:tc>
          <w:tcPr>
            <w:tcW w:w="2760" w:type="dxa"/>
            <w:tcMar>
              <w:left w:w="105" w:type="dxa"/>
              <w:right w:w="105" w:type="dxa"/>
            </w:tcMar>
            <w:vAlign w:val="center"/>
          </w:tcPr>
          <w:p w14:paraId="488A639C" w14:textId="77777777" w:rsidR="00000000" w:rsidRDefault="00000000">
            <w:pPr>
              <w:jc w:val="center"/>
              <w:rPr>
                <w:color w:val="000000"/>
                <w:szCs w:val="21"/>
              </w:rPr>
            </w:pPr>
            <w:r>
              <w:rPr>
                <w:b/>
                <w:bCs/>
                <w:color w:val="000000"/>
                <w:szCs w:val="21"/>
              </w:rPr>
              <w:t>股票交易均价计算区间</w:t>
            </w:r>
          </w:p>
        </w:tc>
        <w:tc>
          <w:tcPr>
            <w:tcW w:w="2760" w:type="dxa"/>
            <w:tcMar>
              <w:left w:w="105" w:type="dxa"/>
              <w:right w:w="105" w:type="dxa"/>
            </w:tcMar>
            <w:vAlign w:val="center"/>
          </w:tcPr>
          <w:p w14:paraId="001C44EC" w14:textId="77777777" w:rsidR="00000000" w:rsidRDefault="00000000">
            <w:pPr>
              <w:jc w:val="center"/>
              <w:rPr>
                <w:color w:val="000000"/>
                <w:szCs w:val="21"/>
              </w:rPr>
            </w:pPr>
            <w:r>
              <w:rPr>
                <w:b/>
                <w:bCs/>
                <w:color w:val="000000"/>
                <w:szCs w:val="21"/>
              </w:rPr>
              <w:t>交易均价</w:t>
            </w:r>
          </w:p>
        </w:tc>
        <w:tc>
          <w:tcPr>
            <w:tcW w:w="2760" w:type="dxa"/>
            <w:tcMar>
              <w:left w:w="105" w:type="dxa"/>
              <w:right w:w="105" w:type="dxa"/>
            </w:tcMar>
            <w:vAlign w:val="center"/>
          </w:tcPr>
          <w:p w14:paraId="578CBEC4" w14:textId="77777777" w:rsidR="00000000" w:rsidRDefault="00000000">
            <w:pPr>
              <w:jc w:val="center"/>
              <w:rPr>
                <w:rFonts w:eastAsia="Times New Roman"/>
                <w:color w:val="000000"/>
                <w:szCs w:val="21"/>
              </w:rPr>
            </w:pPr>
            <w:r>
              <w:rPr>
                <w:b/>
                <w:bCs/>
                <w:color w:val="000000"/>
                <w:szCs w:val="21"/>
              </w:rPr>
              <w:t>交易均价的</w:t>
            </w:r>
            <w:r>
              <w:rPr>
                <w:rFonts w:eastAsia="Times New Roman"/>
                <w:b/>
                <w:bCs/>
                <w:color w:val="000000"/>
                <w:szCs w:val="21"/>
              </w:rPr>
              <w:t>80%</w:t>
            </w:r>
          </w:p>
        </w:tc>
      </w:tr>
      <w:tr w:rsidR="00000000" w14:paraId="3317DCFA" w14:textId="77777777">
        <w:trPr>
          <w:trHeight w:val="345"/>
        </w:trPr>
        <w:tc>
          <w:tcPr>
            <w:tcW w:w="2760" w:type="dxa"/>
            <w:tcMar>
              <w:left w:w="105" w:type="dxa"/>
              <w:right w:w="105" w:type="dxa"/>
            </w:tcMar>
            <w:vAlign w:val="center"/>
          </w:tcPr>
          <w:p w14:paraId="2696BE10" w14:textId="77777777" w:rsidR="00000000" w:rsidRDefault="00000000">
            <w:pPr>
              <w:jc w:val="center"/>
              <w:rPr>
                <w:color w:val="000000"/>
                <w:szCs w:val="21"/>
              </w:rPr>
            </w:pPr>
            <w:r>
              <w:rPr>
                <w:color w:val="000000"/>
                <w:szCs w:val="21"/>
              </w:rPr>
              <w:t>前</w:t>
            </w:r>
            <w:r>
              <w:rPr>
                <w:rFonts w:eastAsia="Times New Roman"/>
                <w:color w:val="000000"/>
                <w:szCs w:val="21"/>
              </w:rPr>
              <w:t>20</w:t>
            </w:r>
            <w:r>
              <w:rPr>
                <w:color w:val="000000"/>
                <w:szCs w:val="21"/>
              </w:rPr>
              <w:t>个交易日</w:t>
            </w:r>
          </w:p>
        </w:tc>
        <w:tc>
          <w:tcPr>
            <w:tcW w:w="2760" w:type="dxa"/>
            <w:tcMar>
              <w:left w:w="105" w:type="dxa"/>
              <w:right w:w="105" w:type="dxa"/>
            </w:tcMar>
            <w:vAlign w:val="center"/>
          </w:tcPr>
          <w:p w14:paraId="00063B64" w14:textId="77777777" w:rsidR="00000000" w:rsidRDefault="00000000">
            <w:pPr>
              <w:jc w:val="center"/>
              <w:rPr>
                <w:color w:val="000000"/>
                <w:szCs w:val="21"/>
              </w:rPr>
            </w:pPr>
            <w:r>
              <w:rPr>
                <w:rFonts w:hint="eastAsia"/>
                <w:color w:val="000000"/>
                <w:szCs w:val="21"/>
              </w:rPr>
              <w:t>8</w:t>
            </w:r>
            <w:r>
              <w:rPr>
                <w:color w:val="000000"/>
                <w:szCs w:val="21"/>
              </w:rPr>
              <w:t>.00</w:t>
            </w:r>
            <w:r>
              <w:rPr>
                <w:color w:val="000000"/>
                <w:szCs w:val="21"/>
              </w:rPr>
              <w:t>元</w:t>
            </w:r>
            <w:r>
              <w:rPr>
                <w:rFonts w:eastAsia="Times New Roman"/>
                <w:color w:val="000000"/>
                <w:szCs w:val="21"/>
              </w:rPr>
              <w:t>/</w:t>
            </w:r>
            <w:r>
              <w:rPr>
                <w:color w:val="000000"/>
                <w:szCs w:val="21"/>
              </w:rPr>
              <w:t>股</w:t>
            </w:r>
          </w:p>
        </w:tc>
        <w:tc>
          <w:tcPr>
            <w:tcW w:w="2760" w:type="dxa"/>
            <w:tcMar>
              <w:left w:w="105" w:type="dxa"/>
              <w:right w:w="105" w:type="dxa"/>
            </w:tcMar>
            <w:vAlign w:val="center"/>
          </w:tcPr>
          <w:p w14:paraId="0A211B10" w14:textId="77777777" w:rsidR="00000000" w:rsidRDefault="00000000">
            <w:pPr>
              <w:jc w:val="center"/>
              <w:rPr>
                <w:color w:val="000000"/>
                <w:szCs w:val="21"/>
              </w:rPr>
            </w:pPr>
            <w:r>
              <w:rPr>
                <w:rFonts w:hint="eastAsia"/>
                <w:color w:val="000000"/>
                <w:szCs w:val="21"/>
              </w:rPr>
              <w:t>6</w:t>
            </w:r>
            <w:r>
              <w:rPr>
                <w:color w:val="000000"/>
                <w:szCs w:val="21"/>
              </w:rPr>
              <w:t>.40</w:t>
            </w:r>
            <w:r>
              <w:rPr>
                <w:color w:val="000000"/>
                <w:szCs w:val="21"/>
              </w:rPr>
              <w:t>元</w:t>
            </w:r>
            <w:r>
              <w:rPr>
                <w:rFonts w:eastAsia="Times New Roman"/>
                <w:color w:val="000000"/>
                <w:szCs w:val="21"/>
              </w:rPr>
              <w:t>/</w:t>
            </w:r>
            <w:r>
              <w:rPr>
                <w:color w:val="000000"/>
                <w:szCs w:val="21"/>
              </w:rPr>
              <w:t>股</w:t>
            </w:r>
          </w:p>
        </w:tc>
      </w:tr>
      <w:tr w:rsidR="00000000" w14:paraId="08322EE1" w14:textId="77777777">
        <w:trPr>
          <w:trHeight w:val="345"/>
        </w:trPr>
        <w:tc>
          <w:tcPr>
            <w:tcW w:w="2760" w:type="dxa"/>
            <w:tcMar>
              <w:left w:w="105" w:type="dxa"/>
              <w:right w:w="105" w:type="dxa"/>
            </w:tcMar>
            <w:vAlign w:val="center"/>
          </w:tcPr>
          <w:p w14:paraId="358531BD" w14:textId="77777777" w:rsidR="00000000" w:rsidRDefault="00000000">
            <w:pPr>
              <w:jc w:val="center"/>
              <w:rPr>
                <w:color w:val="000000"/>
                <w:szCs w:val="21"/>
              </w:rPr>
            </w:pPr>
            <w:r>
              <w:rPr>
                <w:color w:val="000000"/>
                <w:szCs w:val="21"/>
              </w:rPr>
              <w:t>前</w:t>
            </w:r>
            <w:r>
              <w:rPr>
                <w:rFonts w:eastAsia="Times New Roman"/>
                <w:color w:val="000000"/>
                <w:szCs w:val="21"/>
              </w:rPr>
              <w:t>60</w:t>
            </w:r>
            <w:r>
              <w:rPr>
                <w:color w:val="000000"/>
                <w:szCs w:val="21"/>
              </w:rPr>
              <w:t>个交易日</w:t>
            </w:r>
          </w:p>
        </w:tc>
        <w:tc>
          <w:tcPr>
            <w:tcW w:w="2760" w:type="dxa"/>
            <w:tcMar>
              <w:left w:w="105" w:type="dxa"/>
              <w:right w:w="105" w:type="dxa"/>
            </w:tcMar>
            <w:vAlign w:val="center"/>
          </w:tcPr>
          <w:p w14:paraId="51D1FBE5" w14:textId="77777777" w:rsidR="00000000" w:rsidRDefault="00000000">
            <w:pPr>
              <w:jc w:val="center"/>
              <w:rPr>
                <w:color w:val="000000"/>
                <w:szCs w:val="21"/>
              </w:rPr>
            </w:pPr>
            <w:r>
              <w:rPr>
                <w:rFonts w:hint="eastAsia"/>
                <w:color w:val="000000"/>
                <w:szCs w:val="21"/>
              </w:rPr>
              <w:t>8</w:t>
            </w:r>
            <w:r>
              <w:rPr>
                <w:color w:val="000000"/>
                <w:szCs w:val="21"/>
              </w:rPr>
              <w:t>.06</w:t>
            </w:r>
            <w:r>
              <w:rPr>
                <w:color w:val="000000"/>
                <w:szCs w:val="21"/>
              </w:rPr>
              <w:t>元</w:t>
            </w:r>
            <w:r>
              <w:rPr>
                <w:rFonts w:eastAsia="Times New Roman"/>
                <w:color w:val="000000"/>
                <w:szCs w:val="21"/>
              </w:rPr>
              <w:t>/</w:t>
            </w:r>
            <w:r>
              <w:rPr>
                <w:color w:val="000000"/>
                <w:szCs w:val="21"/>
              </w:rPr>
              <w:t>股</w:t>
            </w:r>
          </w:p>
        </w:tc>
        <w:tc>
          <w:tcPr>
            <w:tcW w:w="2760" w:type="dxa"/>
            <w:tcMar>
              <w:left w:w="105" w:type="dxa"/>
              <w:right w:w="105" w:type="dxa"/>
            </w:tcMar>
            <w:vAlign w:val="center"/>
          </w:tcPr>
          <w:p w14:paraId="7FB97108" w14:textId="77777777" w:rsidR="00000000" w:rsidRDefault="00000000">
            <w:pPr>
              <w:jc w:val="center"/>
              <w:rPr>
                <w:color w:val="000000"/>
                <w:szCs w:val="21"/>
              </w:rPr>
            </w:pPr>
            <w:r>
              <w:rPr>
                <w:rFonts w:hint="eastAsia"/>
                <w:color w:val="000000"/>
                <w:szCs w:val="21"/>
              </w:rPr>
              <w:t>6</w:t>
            </w:r>
            <w:r>
              <w:rPr>
                <w:color w:val="000000"/>
                <w:szCs w:val="21"/>
              </w:rPr>
              <w:t>.45</w:t>
            </w:r>
            <w:r>
              <w:rPr>
                <w:color w:val="000000"/>
                <w:szCs w:val="21"/>
              </w:rPr>
              <w:t>元</w:t>
            </w:r>
            <w:r>
              <w:rPr>
                <w:rFonts w:eastAsia="Times New Roman"/>
                <w:color w:val="000000"/>
                <w:szCs w:val="21"/>
              </w:rPr>
              <w:t>/</w:t>
            </w:r>
            <w:r>
              <w:rPr>
                <w:color w:val="000000"/>
                <w:szCs w:val="21"/>
              </w:rPr>
              <w:t>股</w:t>
            </w:r>
          </w:p>
        </w:tc>
      </w:tr>
      <w:tr w:rsidR="00000000" w14:paraId="4970BAE4" w14:textId="77777777">
        <w:trPr>
          <w:trHeight w:val="345"/>
        </w:trPr>
        <w:tc>
          <w:tcPr>
            <w:tcW w:w="2760" w:type="dxa"/>
            <w:tcMar>
              <w:left w:w="105" w:type="dxa"/>
              <w:right w:w="105" w:type="dxa"/>
            </w:tcMar>
            <w:vAlign w:val="center"/>
          </w:tcPr>
          <w:p w14:paraId="083D21AB" w14:textId="77777777" w:rsidR="00000000" w:rsidRDefault="00000000">
            <w:pPr>
              <w:jc w:val="center"/>
              <w:rPr>
                <w:color w:val="000000"/>
                <w:szCs w:val="21"/>
              </w:rPr>
            </w:pPr>
            <w:r>
              <w:rPr>
                <w:color w:val="000000"/>
                <w:szCs w:val="21"/>
              </w:rPr>
              <w:t>前</w:t>
            </w:r>
            <w:r>
              <w:rPr>
                <w:rFonts w:eastAsia="Times New Roman"/>
                <w:color w:val="000000"/>
                <w:szCs w:val="21"/>
              </w:rPr>
              <w:t>120</w:t>
            </w:r>
            <w:r>
              <w:rPr>
                <w:color w:val="000000"/>
                <w:szCs w:val="21"/>
              </w:rPr>
              <w:t>个交易日</w:t>
            </w:r>
          </w:p>
        </w:tc>
        <w:tc>
          <w:tcPr>
            <w:tcW w:w="2760" w:type="dxa"/>
            <w:tcMar>
              <w:left w:w="105" w:type="dxa"/>
              <w:right w:w="105" w:type="dxa"/>
            </w:tcMar>
            <w:vAlign w:val="center"/>
          </w:tcPr>
          <w:p w14:paraId="2C414BE1" w14:textId="77777777" w:rsidR="00000000" w:rsidRDefault="00000000">
            <w:pPr>
              <w:jc w:val="center"/>
              <w:rPr>
                <w:color w:val="000000"/>
                <w:szCs w:val="21"/>
              </w:rPr>
            </w:pPr>
            <w:r>
              <w:rPr>
                <w:color w:val="000000"/>
                <w:szCs w:val="21"/>
              </w:rPr>
              <w:t>8.15</w:t>
            </w:r>
            <w:r>
              <w:rPr>
                <w:color w:val="000000"/>
                <w:szCs w:val="21"/>
              </w:rPr>
              <w:t>元</w:t>
            </w:r>
            <w:r>
              <w:rPr>
                <w:rFonts w:eastAsia="Times New Roman"/>
                <w:color w:val="000000"/>
                <w:szCs w:val="21"/>
              </w:rPr>
              <w:t>/</w:t>
            </w:r>
            <w:r>
              <w:rPr>
                <w:color w:val="000000"/>
                <w:szCs w:val="21"/>
              </w:rPr>
              <w:t>股</w:t>
            </w:r>
          </w:p>
        </w:tc>
        <w:tc>
          <w:tcPr>
            <w:tcW w:w="2760" w:type="dxa"/>
            <w:tcMar>
              <w:left w:w="105" w:type="dxa"/>
              <w:right w:w="105" w:type="dxa"/>
            </w:tcMar>
            <w:vAlign w:val="center"/>
          </w:tcPr>
          <w:p w14:paraId="6008B766" w14:textId="77777777" w:rsidR="00000000" w:rsidRDefault="00000000">
            <w:pPr>
              <w:jc w:val="center"/>
              <w:rPr>
                <w:color w:val="000000"/>
                <w:szCs w:val="21"/>
              </w:rPr>
            </w:pPr>
            <w:r>
              <w:rPr>
                <w:rFonts w:hint="eastAsia"/>
                <w:color w:val="000000"/>
                <w:szCs w:val="21"/>
              </w:rPr>
              <w:t>6</w:t>
            </w:r>
            <w:r>
              <w:rPr>
                <w:color w:val="000000"/>
                <w:szCs w:val="21"/>
              </w:rPr>
              <w:t>.52</w:t>
            </w:r>
            <w:r>
              <w:rPr>
                <w:color w:val="000000"/>
                <w:szCs w:val="21"/>
              </w:rPr>
              <w:t>元</w:t>
            </w:r>
            <w:r>
              <w:rPr>
                <w:rFonts w:eastAsia="Times New Roman"/>
                <w:color w:val="000000"/>
                <w:szCs w:val="21"/>
              </w:rPr>
              <w:t>/</w:t>
            </w:r>
            <w:r>
              <w:rPr>
                <w:color w:val="000000"/>
                <w:szCs w:val="21"/>
              </w:rPr>
              <w:t>股</w:t>
            </w:r>
          </w:p>
        </w:tc>
      </w:tr>
    </w:tbl>
    <w:p w14:paraId="04BE99D1" w14:textId="77777777" w:rsidR="00000000" w:rsidRDefault="00000000">
      <w:pPr>
        <w:spacing w:before="50" w:after="50" w:line="360" w:lineRule="auto"/>
        <w:ind w:firstLineChars="200" w:firstLine="480"/>
        <w:rPr>
          <w:bCs/>
          <w:sz w:val="24"/>
          <w:szCs w:val="24"/>
        </w:rPr>
      </w:pPr>
      <w:r>
        <w:rPr>
          <w:color w:val="000000"/>
          <w:sz w:val="24"/>
        </w:rPr>
        <w:lastRenderedPageBreak/>
        <w:t>公司在与交易对方进行充分、平等协商的基础上，充分考虑各方利益，确定发行价格</w:t>
      </w:r>
      <w:r>
        <w:rPr>
          <w:color w:val="000000"/>
          <w:szCs w:val="21"/>
        </w:rPr>
        <w:t>为</w:t>
      </w:r>
      <w:r>
        <w:rPr>
          <w:rFonts w:hint="eastAsia"/>
          <w:color w:val="000000"/>
          <w:sz w:val="24"/>
        </w:rPr>
        <w:t>6</w:t>
      </w:r>
      <w:r>
        <w:rPr>
          <w:color w:val="000000"/>
          <w:sz w:val="24"/>
        </w:rPr>
        <w:t>.69</w:t>
      </w:r>
      <w:r>
        <w:rPr>
          <w:color w:val="000000"/>
          <w:sz w:val="24"/>
        </w:rPr>
        <w:t>元</w:t>
      </w:r>
      <w:r>
        <w:rPr>
          <w:color w:val="000000"/>
          <w:sz w:val="24"/>
        </w:rPr>
        <w:t>/</w:t>
      </w:r>
      <w:r>
        <w:rPr>
          <w:color w:val="000000"/>
          <w:sz w:val="24"/>
        </w:rPr>
        <w:t>股，不低于定价基准日前</w:t>
      </w:r>
      <w:r>
        <w:rPr>
          <w:rFonts w:hint="eastAsia"/>
          <w:color w:val="000000"/>
          <w:sz w:val="24"/>
        </w:rPr>
        <w:t>2</w:t>
      </w:r>
      <w:r>
        <w:rPr>
          <w:color w:val="000000"/>
          <w:sz w:val="24"/>
        </w:rPr>
        <w:t>0</w:t>
      </w:r>
      <w:r>
        <w:rPr>
          <w:color w:val="000000"/>
          <w:sz w:val="24"/>
        </w:rPr>
        <w:t>个交易日中广核技股票交易均价的</w:t>
      </w:r>
      <w:r>
        <w:rPr>
          <w:color w:val="000000"/>
          <w:sz w:val="24"/>
        </w:rPr>
        <w:t>80%</w:t>
      </w:r>
      <w:r>
        <w:rPr>
          <w:rFonts w:hint="eastAsia"/>
          <w:color w:val="000000"/>
          <w:sz w:val="24"/>
        </w:rPr>
        <w:t>，且不低于中广核技最近一期经审计的每股净资产</w:t>
      </w:r>
      <w:r>
        <w:rPr>
          <w:color w:val="000000"/>
          <w:sz w:val="24"/>
        </w:rPr>
        <w:t>。</w:t>
      </w:r>
    </w:p>
    <w:p w14:paraId="1F1FAA5D" w14:textId="77777777" w:rsidR="00000000" w:rsidRDefault="00000000">
      <w:pPr>
        <w:spacing w:before="50" w:after="50" w:line="360" w:lineRule="auto"/>
        <w:ind w:firstLineChars="200" w:firstLine="480"/>
        <w:rPr>
          <w:bCs/>
          <w:sz w:val="24"/>
          <w:szCs w:val="24"/>
        </w:rPr>
      </w:pPr>
      <w:r>
        <w:rPr>
          <w:bCs/>
          <w:sz w:val="24"/>
          <w:szCs w:val="24"/>
        </w:rPr>
        <w:t>在定价基准日至股份上市日期间，若公司发生派发现金股利、送红股、转增股本或配股等除息、除权行为，本次发行价格及数量将作相应调整。</w:t>
      </w:r>
    </w:p>
    <w:p w14:paraId="1CD7778C" w14:textId="77777777" w:rsidR="00000000" w:rsidRDefault="00000000">
      <w:pPr>
        <w:spacing w:before="50" w:after="50" w:line="360" w:lineRule="auto"/>
        <w:ind w:firstLineChars="200" w:firstLine="480"/>
        <w:rPr>
          <w:bCs/>
          <w:sz w:val="24"/>
          <w:szCs w:val="24"/>
        </w:rPr>
      </w:pPr>
      <w:r>
        <w:rPr>
          <w:bCs/>
          <w:sz w:val="24"/>
          <w:szCs w:val="24"/>
        </w:rPr>
        <w:t>假设调整前每股发行价格为</w:t>
      </w:r>
      <w:r>
        <w:rPr>
          <w:bCs/>
          <w:sz w:val="24"/>
          <w:szCs w:val="24"/>
        </w:rPr>
        <w:t>P0</w:t>
      </w:r>
      <w:r>
        <w:rPr>
          <w:bCs/>
          <w:sz w:val="24"/>
          <w:szCs w:val="24"/>
        </w:rPr>
        <w:t>，每股送股或转增股本数为</w:t>
      </w:r>
      <w:r>
        <w:rPr>
          <w:bCs/>
          <w:sz w:val="24"/>
          <w:szCs w:val="24"/>
        </w:rPr>
        <w:t>N</w:t>
      </w:r>
      <w:r>
        <w:rPr>
          <w:bCs/>
          <w:sz w:val="24"/>
          <w:szCs w:val="24"/>
        </w:rPr>
        <w:t>，每股配股数为</w:t>
      </w:r>
      <w:r>
        <w:rPr>
          <w:bCs/>
          <w:sz w:val="24"/>
          <w:szCs w:val="24"/>
        </w:rPr>
        <w:t>K</w:t>
      </w:r>
      <w:r>
        <w:rPr>
          <w:bCs/>
          <w:sz w:val="24"/>
          <w:szCs w:val="24"/>
        </w:rPr>
        <w:t>，配股价为</w:t>
      </w:r>
      <w:r>
        <w:rPr>
          <w:bCs/>
          <w:sz w:val="24"/>
          <w:szCs w:val="24"/>
        </w:rPr>
        <w:t>A</w:t>
      </w:r>
      <w:r>
        <w:rPr>
          <w:bCs/>
          <w:sz w:val="24"/>
          <w:szCs w:val="24"/>
        </w:rPr>
        <w:t>，每股派息为</w:t>
      </w:r>
      <w:r>
        <w:rPr>
          <w:bCs/>
          <w:sz w:val="24"/>
          <w:szCs w:val="24"/>
        </w:rPr>
        <w:t>D</w:t>
      </w:r>
      <w:r>
        <w:rPr>
          <w:bCs/>
          <w:sz w:val="24"/>
          <w:szCs w:val="24"/>
        </w:rPr>
        <w:t>，调整后发行价格为</w:t>
      </w:r>
      <w:r>
        <w:rPr>
          <w:bCs/>
          <w:sz w:val="24"/>
          <w:szCs w:val="24"/>
        </w:rPr>
        <w:t>P1</w:t>
      </w:r>
      <w:r>
        <w:rPr>
          <w:bCs/>
          <w:sz w:val="24"/>
          <w:szCs w:val="24"/>
        </w:rPr>
        <w:t>，则：</w:t>
      </w:r>
    </w:p>
    <w:p w14:paraId="1111ED76" w14:textId="77777777" w:rsidR="00000000" w:rsidRDefault="00000000">
      <w:pPr>
        <w:spacing w:before="50" w:after="50" w:line="360" w:lineRule="auto"/>
        <w:ind w:firstLineChars="200" w:firstLine="480"/>
        <w:rPr>
          <w:bCs/>
          <w:sz w:val="24"/>
          <w:szCs w:val="24"/>
        </w:rPr>
      </w:pPr>
      <w:r>
        <w:rPr>
          <w:bCs/>
          <w:sz w:val="24"/>
          <w:szCs w:val="24"/>
        </w:rPr>
        <w:t>送红股或转增股本：</w:t>
      </w:r>
      <w:r>
        <w:rPr>
          <w:bCs/>
          <w:sz w:val="24"/>
          <w:szCs w:val="24"/>
        </w:rPr>
        <w:t>P1</w:t>
      </w:r>
      <w:r>
        <w:rPr>
          <w:bCs/>
          <w:sz w:val="24"/>
          <w:szCs w:val="24"/>
        </w:rPr>
        <w:t>＝</w:t>
      </w:r>
      <w:r>
        <w:rPr>
          <w:bCs/>
          <w:sz w:val="24"/>
          <w:szCs w:val="24"/>
        </w:rPr>
        <w:t>P0/</w:t>
      </w:r>
      <w:r>
        <w:rPr>
          <w:bCs/>
          <w:sz w:val="24"/>
          <w:szCs w:val="24"/>
        </w:rPr>
        <w:t>（</w:t>
      </w:r>
      <w:r>
        <w:rPr>
          <w:bCs/>
          <w:sz w:val="24"/>
          <w:szCs w:val="24"/>
        </w:rPr>
        <w:t>1</w:t>
      </w:r>
      <w:r>
        <w:rPr>
          <w:bCs/>
          <w:sz w:val="24"/>
          <w:szCs w:val="24"/>
        </w:rPr>
        <w:t>＋</w:t>
      </w:r>
      <w:r>
        <w:rPr>
          <w:bCs/>
          <w:sz w:val="24"/>
          <w:szCs w:val="24"/>
        </w:rPr>
        <w:t>N</w:t>
      </w:r>
      <w:r>
        <w:rPr>
          <w:bCs/>
          <w:sz w:val="24"/>
          <w:szCs w:val="24"/>
        </w:rPr>
        <w:t>）</w:t>
      </w:r>
    </w:p>
    <w:p w14:paraId="77CF72CC" w14:textId="77777777" w:rsidR="00000000" w:rsidRDefault="00000000">
      <w:pPr>
        <w:spacing w:before="50" w:after="50" w:line="360" w:lineRule="auto"/>
        <w:ind w:firstLineChars="200" w:firstLine="480"/>
        <w:rPr>
          <w:bCs/>
          <w:sz w:val="24"/>
          <w:szCs w:val="24"/>
        </w:rPr>
      </w:pPr>
      <w:r>
        <w:rPr>
          <w:bCs/>
          <w:sz w:val="24"/>
          <w:szCs w:val="24"/>
        </w:rPr>
        <w:t>配股：</w:t>
      </w:r>
      <w:r>
        <w:rPr>
          <w:bCs/>
          <w:sz w:val="24"/>
          <w:szCs w:val="24"/>
        </w:rPr>
        <w:t>P1</w:t>
      </w:r>
      <w:r>
        <w:rPr>
          <w:bCs/>
          <w:sz w:val="24"/>
          <w:szCs w:val="24"/>
        </w:rPr>
        <w:t>＝（</w:t>
      </w:r>
      <w:r>
        <w:rPr>
          <w:bCs/>
          <w:sz w:val="24"/>
          <w:szCs w:val="24"/>
        </w:rPr>
        <w:t>P0</w:t>
      </w:r>
      <w:r>
        <w:rPr>
          <w:bCs/>
          <w:sz w:val="24"/>
          <w:szCs w:val="24"/>
        </w:rPr>
        <w:t>＋</w:t>
      </w:r>
      <w:r>
        <w:rPr>
          <w:bCs/>
          <w:sz w:val="24"/>
          <w:szCs w:val="24"/>
        </w:rPr>
        <w:t>A</w:t>
      </w:r>
      <w:r>
        <w:rPr>
          <w:rFonts w:hint="eastAsia"/>
          <w:bCs/>
          <w:sz w:val="24"/>
          <w:szCs w:val="24"/>
        </w:rPr>
        <w:t>×</w:t>
      </w:r>
      <w:r>
        <w:rPr>
          <w:bCs/>
          <w:sz w:val="24"/>
          <w:szCs w:val="24"/>
        </w:rPr>
        <w:t>K</w:t>
      </w:r>
      <w:r>
        <w:rPr>
          <w:bCs/>
          <w:sz w:val="24"/>
          <w:szCs w:val="24"/>
        </w:rPr>
        <w:t>）</w:t>
      </w:r>
      <w:r>
        <w:rPr>
          <w:bCs/>
          <w:sz w:val="24"/>
          <w:szCs w:val="24"/>
        </w:rPr>
        <w:t>/</w:t>
      </w:r>
      <w:r>
        <w:rPr>
          <w:bCs/>
          <w:sz w:val="24"/>
          <w:szCs w:val="24"/>
        </w:rPr>
        <w:t>（</w:t>
      </w:r>
      <w:r>
        <w:rPr>
          <w:bCs/>
          <w:sz w:val="24"/>
          <w:szCs w:val="24"/>
        </w:rPr>
        <w:t>1</w:t>
      </w:r>
      <w:r>
        <w:rPr>
          <w:bCs/>
          <w:sz w:val="24"/>
          <w:szCs w:val="24"/>
        </w:rPr>
        <w:t>＋</w:t>
      </w:r>
      <w:r>
        <w:rPr>
          <w:bCs/>
          <w:sz w:val="24"/>
          <w:szCs w:val="24"/>
        </w:rPr>
        <w:t>K</w:t>
      </w:r>
      <w:r>
        <w:rPr>
          <w:bCs/>
          <w:sz w:val="24"/>
          <w:szCs w:val="24"/>
        </w:rPr>
        <w:t>）</w:t>
      </w:r>
    </w:p>
    <w:p w14:paraId="6C73FF62" w14:textId="77777777" w:rsidR="00000000" w:rsidRDefault="00000000">
      <w:pPr>
        <w:spacing w:before="50" w:after="50" w:line="360" w:lineRule="auto"/>
        <w:ind w:firstLineChars="200" w:firstLine="480"/>
        <w:rPr>
          <w:bCs/>
          <w:sz w:val="24"/>
          <w:szCs w:val="24"/>
        </w:rPr>
      </w:pPr>
      <w:r>
        <w:rPr>
          <w:bCs/>
          <w:sz w:val="24"/>
          <w:szCs w:val="24"/>
        </w:rPr>
        <w:t>上述两项同时进行时，按如下公式调整：</w:t>
      </w:r>
      <w:r>
        <w:rPr>
          <w:bCs/>
          <w:sz w:val="24"/>
          <w:szCs w:val="24"/>
        </w:rPr>
        <w:t>P1=</w:t>
      </w:r>
      <w:r>
        <w:rPr>
          <w:bCs/>
          <w:sz w:val="24"/>
          <w:szCs w:val="24"/>
        </w:rPr>
        <w:t>（</w:t>
      </w:r>
      <w:r>
        <w:rPr>
          <w:bCs/>
          <w:sz w:val="24"/>
          <w:szCs w:val="24"/>
        </w:rPr>
        <w:t>P0+A×K</w:t>
      </w:r>
      <w:r>
        <w:rPr>
          <w:bCs/>
          <w:sz w:val="24"/>
          <w:szCs w:val="24"/>
        </w:rPr>
        <w:t>）</w:t>
      </w:r>
      <w:r>
        <w:rPr>
          <w:bCs/>
          <w:sz w:val="24"/>
          <w:szCs w:val="24"/>
        </w:rPr>
        <w:t>/</w:t>
      </w:r>
      <w:r>
        <w:rPr>
          <w:bCs/>
          <w:sz w:val="24"/>
          <w:szCs w:val="24"/>
        </w:rPr>
        <w:t>（</w:t>
      </w:r>
      <w:r>
        <w:rPr>
          <w:bCs/>
          <w:sz w:val="24"/>
          <w:szCs w:val="24"/>
        </w:rPr>
        <w:t>1+N+K</w:t>
      </w:r>
      <w:r>
        <w:rPr>
          <w:bCs/>
          <w:sz w:val="24"/>
          <w:szCs w:val="24"/>
        </w:rPr>
        <w:t>）</w:t>
      </w:r>
    </w:p>
    <w:p w14:paraId="3919356F" w14:textId="77777777" w:rsidR="00000000" w:rsidRDefault="00000000">
      <w:pPr>
        <w:spacing w:before="50" w:after="50" w:line="360" w:lineRule="auto"/>
        <w:ind w:firstLineChars="200" w:firstLine="480"/>
        <w:rPr>
          <w:bCs/>
          <w:sz w:val="24"/>
          <w:szCs w:val="24"/>
        </w:rPr>
      </w:pPr>
      <w:r>
        <w:rPr>
          <w:bCs/>
          <w:sz w:val="24"/>
          <w:szCs w:val="24"/>
        </w:rPr>
        <w:t>派发现金股利：</w:t>
      </w:r>
      <w:r>
        <w:rPr>
          <w:bCs/>
          <w:sz w:val="24"/>
          <w:szCs w:val="24"/>
        </w:rPr>
        <w:t>P1</w:t>
      </w:r>
      <w:r>
        <w:rPr>
          <w:bCs/>
          <w:sz w:val="24"/>
          <w:szCs w:val="24"/>
        </w:rPr>
        <w:t>＝</w:t>
      </w:r>
      <w:r>
        <w:rPr>
          <w:bCs/>
          <w:sz w:val="24"/>
          <w:szCs w:val="24"/>
        </w:rPr>
        <w:t xml:space="preserve">P0-D </w:t>
      </w:r>
    </w:p>
    <w:p w14:paraId="1723AD48" w14:textId="77777777" w:rsidR="00000000" w:rsidRDefault="00000000">
      <w:pPr>
        <w:spacing w:before="50" w:after="50" w:line="360" w:lineRule="auto"/>
        <w:ind w:firstLineChars="200" w:firstLine="480"/>
        <w:rPr>
          <w:bCs/>
          <w:sz w:val="24"/>
          <w:szCs w:val="24"/>
        </w:rPr>
      </w:pPr>
      <w:r>
        <w:rPr>
          <w:bCs/>
          <w:sz w:val="24"/>
          <w:szCs w:val="24"/>
        </w:rPr>
        <w:t>假设以上三项同时进行：</w:t>
      </w:r>
      <w:r>
        <w:rPr>
          <w:bCs/>
          <w:sz w:val="24"/>
          <w:szCs w:val="24"/>
        </w:rPr>
        <w:t>P1</w:t>
      </w:r>
      <w:r>
        <w:rPr>
          <w:bCs/>
          <w:sz w:val="24"/>
          <w:szCs w:val="24"/>
        </w:rPr>
        <w:t>＝（</w:t>
      </w:r>
      <w:r>
        <w:rPr>
          <w:bCs/>
          <w:sz w:val="24"/>
          <w:szCs w:val="24"/>
        </w:rPr>
        <w:t>P0</w:t>
      </w:r>
      <w:r>
        <w:rPr>
          <w:bCs/>
          <w:sz w:val="24"/>
          <w:szCs w:val="24"/>
        </w:rPr>
        <w:t>－</w:t>
      </w:r>
      <w:r>
        <w:rPr>
          <w:bCs/>
          <w:sz w:val="24"/>
          <w:szCs w:val="24"/>
        </w:rPr>
        <w:t>D</w:t>
      </w:r>
      <w:r>
        <w:rPr>
          <w:bCs/>
          <w:sz w:val="24"/>
          <w:szCs w:val="24"/>
        </w:rPr>
        <w:t>＋</w:t>
      </w:r>
      <w:r>
        <w:rPr>
          <w:bCs/>
          <w:sz w:val="24"/>
          <w:szCs w:val="24"/>
        </w:rPr>
        <w:t>A</w:t>
      </w:r>
      <w:r>
        <w:rPr>
          <w:rFonts w:hint="eastAsia"/>
          <w:bCs/>
          <w:sz w:val="24"/>
          <w:szCs w:val="24"/>
        </w:rPr>
        <w:t>×</w:t>
      </w:r>
      <w:r>
        <w:rPr>
          <w:bCs/>
          <w:sz w:val="24"/>
          <w:szCs w:val="24"/>
        </w:rPr>
        <w:t>K</w:t>
      </w:r>
      <w:r>
        <w:rPr>
          <w:bCs/>
          <w:sz w:val="24"/>
          <w:szCs w:val="24"/>
        </w:rPr>
        <w:t>）</w:t>
      </w:r>
      <w:r>
        <w:rPr>
          <w:bCs/>
          <w:sz w:val="24"/>
          <w:szCs w:val="24"/>
        </w:rPr>
        <w:t>/</w:t>
      </w:r>
      <w:r>
        <w:rPr>
          <w:bCs/>
          <w:sz w:val="24"/>
          <w:szCs w:val="24"/>
        </w:rPr>
        <w:t>（</w:t>
      </w:r>
      <w:r>
        <w:rPr>
          <w:bCs/>
          <w:sz w:val="24"/>
          <w:szCs w:val="24"/>
        </w:rPr>
        <w:t>1</w:t>
      </w:r>
      <w:r>
        <w:rPr>
          <w:bCs/>
          <w:sz w:val="24"/>
          <w:szCs w:val="24"/>
        </w:rPr>
        <w:t>＋</w:t>
      </w:r>
      <w:r>
        <w:rPr>
          <w:bCs/>
          <w:sz w:val="24"/>
          <w:szCs w:val="24"/>
        </w:rPr>
        <w:t>K</w:t>
      </w:r>
      <w:r>
        <w:rPr>
          <w:bCs/>
          <w:sz w:val="24"/>
          <w:szCs w:val="24"/>
        </w:rPr>
        <w:t>＋</w:t>
      </w:r>
      <w:r>
        <w:rPr>
          <w:bCs/>
          <w:sz w:val="24"/>
          <w:szCs w:val="24"/>
        </w:rPr>
        <w:t>N</w:t>
      </w:r>
      <w:r>
        <w:rPr>
          <w:bCs/>
          <w:sz w:val="24"/>
          <w:szCs w:val="24"/>
        </w:rPr>
        <w:t>）</w:t>
      </w:r>
    </w:p>
    <w:p w14:paraId="4EBB6159" w14:textId="77777777" w:rsidR="00000000" w:rsidRDefault="00000000">
      <w:pPr>
        <w:spacing w:before="50" w:after="50" w:line="360" w:lineRule="auto"/>
        <w:ind w:firstLineChars="200" w:firstLine="480"/>
        <w:rPr>
          <w:bCs/>
          <w:sz w:val="24"/>
          <w:szCs w:val="24"/>
        </w:rPr>
      </w:pPr>
      <w:r>
        <w:rPr>
          <w:bCs/>
          <w:sz w:val="24"/>
          <w:szCs w:val="24"/>
        </w:rPr>
        <w:t>交易双方同意，在定价基准日至本次发行股份购买资产新增股份上市日期间，若公司发生派发股利行为，如根据上述约定调整后的发行价格低于中广核技最近一期经审计的每股净资产值，则发行价格仍为</w:t>
      </w:r>
      <w:r>
        <w:rPr>
          <w:rFonts w:hint="eastAsia"/>
          <w:bCs/>
          <w:sz w:val="24"/>
          <w:szCs w:val="24"/>
        </w:rPr>
        <w:t>6</w:t>
      </w:r>
      <w:r>
        <w:rPr>
          <w:bCs/>
          <w:sz w:val="24"/>
          <w:szCs w:val="24"/>
        </w:rPr>
        <w:t>.69</w:t>
      </w:r>
      <w:r>
        <w:rPr>
          <w:bCs/>
          <w:sz w:val="24"/>
          <w:szCs w:val="24"/>
        </w:rPr>
        <w:t>元。在定价基准日至目标股份上市日期间，若公司发生送红股、转增股本或配股等除权行为，且根据上述约定调整后的发行价格低于按照届时公司变动后的股本总数计算出的最近一期经审计每股净资产值（以下简称</w:t>
      </w:r>
      <w:r>
        <w:rPr>
          <w:bCs/>
          <w:sz w:val="24"/>
          <w:szCs w:val="24"/>
        </w:rPr>
        <w:t>“</w:t>
      </w:r>
      <w:r>
        <w:rPr>
          <w:bCs/>
          <w:sz w:val="24"/>
          <w:szCs w:val="24"/>
        </w:rPr>
        <w:t>调整后的每股净资产值</w:t>
      </w:r>
      <w:r>
        <w:rPr>
          <w:bCs/>
          <w:sz w:val="24"/>
          <w:szCs w:val="24"/>
        </w:rPr>
        <w:t>”</w:t>
      </w:r>
      <w:r>
        <w:rPr>
          <w:bCs/>
          <w:sz w:val="24"/>
          <w:szCs w:val="24"/>
        </w:rPr>
        <w:t>），则发行价格为调整后的每股净资产值。</w:t>
      </w:r>
    </w:p>
    <w:p w14:paraId="05926409" w14:textId="77777777" w:rsidR="00000000" w:rsidRDefault="00000000">
      <w:pPr>
        <w:numPr>
          <w:ilvl w:val="0"/>
          <w:numId w:val="3"/>
        </w:numPr>
        <w:spacing w:before="50" w:after="50" w:line="360" w:lineRule="auto"/>
        <w:rPr>
          <w:b/>
          <w:bCs/>
          <w:sz w:val="24"/>
          <w:szCs w:val="24"/>
        </w:rPr>
      </w:pPr>
      <w:r>
        <w:rPr>
          <w:b/>
          <w:bCs/>
          <w:color w:val="000000"/>
          <w:sz w:val="24"/>
        </w:rPr>
        <w:t>本次发行股份的定价</w:t>
      </w:r>
    </w:p>
    <w:p w14:paraId="5C14526F" w14:textId="77777777" w:rsidR="00000000" w:rsidRDefault="00000000">
      <w:pPr>
        <w:spacing w:before="50" w:after="50" w:line="360" w:lineRule="auto"/>
        <w:ind w:firstLineChars="200" w:firstLine="480"/>
        <w:rPr>
          <w:sz w:val="24"/>
          <w:szCs w:val="24"/>
        </w:rPr>
      </w:pPr>
      <w:r>
        <w:rPr>
          <w:color w:val="000000"/>
          <w:sz w:val="24"/>
        </w:rPr>
        <w:t>本次购买资产股份发行价格系交易双方友好协商确定，定价原则符合《</w:t>
      </w:r>
      <w:r>
        <w:rPr>
          <w:rFonts w:hint="eastAsia"/>
          <w:color w:val="000000"/>
          <w:sz w:val="24"/>
        </w:rPr>
        <w:t>上市公司重大资产</w:t>
      </w:r>
      <w:r>
        <w:rPr>
          <w:color w:val="000000"/>
          <w:sz w:val="24"/>
        </w:rPr>
        <w:t>重组管理办法》规定。</w:t>
      </w:r>
    </w:p>
    <w:p w14:paraId="12AB49C3"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03984B9"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9A5809A" w14:textId="77777777" w:rsidR="00000000" w:rsidRDefault="00000000">
      <w:pPr>
        <w:spacing w:before="50" w:after="50" w:line="360" w:lineRule="auto"/>
        <w:ind w:firstLineChars="200" w:firstLine="480"/>
        <w:rPr>
          <w:bCs/>
          <w:sz w:val="24"/>
          <w:szCs w:val="24"/>
        </w:rPr>
      </w:pPr>
      <w:r>
        <w:rPr>
          <w:bCs/>
          <w:sz w:val="24"/>
          <w:szCs w:val="24"/>
        </w:rPr>
        <w:t>表决结果：通过。</w:t>
      </w:r>
    </w:p>
    <w:p w14:paraId="6D437427" w14:textId="77777777" w:rsidR="00000000" w:rsidRDefault="00000000">
      <w:pPr>
        <w:spacing w:before="50" w:after="50" w:line="360" w:lineRule="auto"/>
        <w:ind w:firstLineChars="200" w:firstLine="482"/>
        <w:rPr>
          <w:b/>
          <w:bCs/>
          <w:sz w:val="24"/>
          <w:szCs w:val="24"/>
        </w:rPr>
      </w:pPr>
      <w:r>
        <w:rPr>
          <w:rFonts w:ascii="宋体" w:hAnsi="宋体" w:hint="eastAsia"/>
          <w:b/>
          <w:bCs/>
          <w:color w:val="000000"/>
          <w:sz w:val="24"/>
        </w:rPr>
        <w:t>③</w:t>
      </w:r>
      <w:r>
        <w:rPr>
          <w:b/>
          <w:bCs/>
          <w:color w:val="000000"/>
          <w:sz w:val="24"/>
        </w:rPr>
        <w:t>发行价格调整方案</w:t>
      </w:r>
    </w:p>
    <w:p w14:paraId="4FCBDEB3" w14:textId="77777777" w:rsidR="00000000" w:rsidRDefault="00000000">
      <w:pPr>
        <w:spacing w:before="50" w:after="50" w:line="360" w:lineRule="auto"/>
        <w:ind w:firstLineChars="200" w:firstLine="480"/>
        <w:rPr>
          <w:sz w:val="24"/>
          <w:szCs w:val="24"/>
        </w:rPr>
      </w:pPr>
      <w:r>
        <w:rPr>
          <w:color w:val="000000"/>
          <w:sz w:val="24"/>
        </w:rPr>
        <w:lastRenderedPageBreak/>
        <w:t>本次交易不设发行价格调整方案。</w:t>
      </w:r>
    </w:p>
    <w:p w14:paraId="5B2B4D78" w14:textId="77777777" w:rsidR="00000000" w:rsidRDefault="00000000">
      <w:pPr>
        <w:spacing w:before="50" w:after="50" w:line="360" w:lineRule="auto"/>
        <w:ind w:firstLineChars="200" w:firstLine="480"/>
        <w:rPr>
          <w:bCs/>
          <w:sz w:val="24"/>
          <w:szCs w:val="24"/>
        </w:rPr>
      </w:pPr>
      <w:bookmarkStart w:id="2" w:name="_Hlk142425684"/>
      <w:r>
        <w:rPr>
          <w:bCs/>
          <w:sz w:val="24"/>
          <w:szCs w:val="24"/>
        </w:rPr>
        <w:t>本项子议案涉及关联交易。关联董事李勇、盛国福、陈新国、文志涛已回避表决，其他非关联董事同意本议案。</w:t>
      </w:r>
    </w:p>
    <w:p w14:paraId="2747E9A2"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0CDABB0E" w14:textId="77777777" w:rsidR="00000000" w:rsidRDefault="00000000">
      <w:pPr>
        <w:spacing w:before="50" w:after="50" w:line="360" w:lineRule="auto"/>
        <w:ind w:firstLineChars="200" w:firstLine="480"/>
        <w:rPr>
          <w:bCs/>
          <w:sz w:val="24"/>
          <w:szCs w:val="24"/>
        </w:rPr>
      </w:pPr>
      <w:r>
        <w:rPr>
          <w:bCs/>
          <w:sz w:val="24"/>
          <w:szCs w:val="24"/>
        </w:rPr>
        <w:t>表决结果：通过。</w:t>
      </w:r>
      <w:bookmarkEnd w:id="2"/>
    </w:p>
    <w:p w14:paraId="3E46BB56" w14:textId="77777777" w:rsidR="00000000" w:rsidRDefault="00000000">
      <w:pPr>
        <w:spacing w:before="50" w:after="50" w:line="360" w:lineRule="auto"/>
        <w:ind w:firstLineChars="200" w:firstLine="482"/>
        <w:rPr>
          <w:b/>
          <w:bCs/>
          <w:sz w:val="24"/>
          <w:szCs w:val="24"/>
        </w:rPr>
      </w:pPr>
      <w:r>
        <w:rPr>
          <w:rFonts w:ascii="宋体" w:hAnsi="宋体" w:hint="eastAsia"/>
          <w:b/>
          <w:bCs/>
          <w:color w:val="000000"/>
          <w:sz w:val="24"/>
        </w:rPr>
        <w:t>④</w:t>
      </w:r>
      <w:r>
        <w:rPr>
          <w:b/>
          <w:bCs/>
          <w:color w:val="000000"/>
          <w:sz w:val="24"/>
        </w:rPr>
        <w:t>发行股份的种类、面值及上市地点</w:t>
      </w:r>
    </w:p>
    <w:p w14:paraId="3A8DB55F" w14:textId="77777777" w:rsidR="00000000" w:rsidRDefault="00000000">
      <w:pPr>
        <w:spacing w:before="50" w:after="50" w:line="360" w:lineRule="auto"/>
        <w:ind w:firstLineChars="200" w:firstLine="480"/>
        <w:rPr>
          <w:bCs/>
          <w:sz w:val="24"/>
          <w:szCs w:val="24"/>
        </w:rPr>
      </w:pPr>
      <w:r>
        <w:rPr>
          <w:bCs/>
          <w:sz w:val="24"/>
          <w:szCs w:val="24"/>
        </w:rPr>
        <w:t>本次购买标的资产发行的股份种类为人民币普通股（</w:t>
      </w:r>
      <w:r>
        <w:rPr>
          <w:bCs/>
          <w:sz w:val="24"/>
          <w:szCs w:val="24"/>
        </w:rPr>
        <w:t>A</w:t>
      </w:r>
      <w:r>
        <w:rPr>
          <w:bCs/>
          <w:sz w:val="24"/>
          <w:szCs w:val="24"/>
        </w:rPr>
        <w:t>股），每股面值为</w:t>
      </w:r>
      <w:r>
        <w:rPr>
          <w:bCs/>
          <w:sz w:val="24"/>
          <w:szCs w:val="24"/>
        </w:rPr>
        <w:t>1.00</w:t>
      </w:r>
      <w:r>
        <w:rPr>
          <w:bCs/>
          <w:sz w:val="24"/>
          <w:szCs w:val="24"/>
        </w:rPr>
        <w:t>元，上市地点为深交所主板。</w:t>
      </w:r>
    </w:p>
    <w:p w14:paraId="6973E343"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1DE274CF"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3A7D928" w14:textId="77777777" w:rsidR="00000000" w:rsidRDefault="00000000">
      <w:pPr>
        <w:spacing w:before="50" w:after="50" w:line="360" w:lineRule="auto"/>
        <w:ind w:firstLineChars="200" w:firstLine="480"/>
        <w:rPr>
          <w:bCs/>
          <w:sz w:val="24"/>
          <w:szCs w:val="24"/>
        </w:rPr>
      </w:pPr>
      <w:r>
        <w:rPr>
          <w:bCs/>
          <w:sz w:val="24"/>
          <w:szCs w:val="24"/>
        </w:rPr>
        <w:t>表决结果：通过。</w:t>
      </w:r>
    </w:p>
    <w:p w14:paraId="29429099" w14:textId="77777777" w:rsidR="00000000" w:rsidRDefault="00000000">
      <w:pPr>
        <w:spacing w:before="50" w:after="50" w:line="360" w:lineRule="auto"/>
        <w:ind w:firstLineChars="200" w:firstLine="482"/>
        <w:rPr>
          <w:b/>
          <w:bCs/>
          <w:sz w:val="24"/>
          <w:szCs w:val="24"/>
        </w:rPr>
      </w:pPr>
      <w:r>
        <w:rPr>
          <w:rFonts w:ascii="宋体" w:hAnsi="宋体" w:hint="eastAsia"/>
          <w:b/>
          <w:bCs/>
          <w:color w:val="000000"/>
          <w:sz w:val="24"/>
        </w:rPr>
        <w:t>⑤</w:t>
      </w:r>
      <w:r>
        <w:rPr>
          <w:b/>
          <w:bCs/>
          <w:color w:val="000000"/>
          <w:sz w:val="24"/>
        </w:rPr>
        <w:t>发行股份的数量及占发行后总股本的比例</w:t>
      </w:r>
    </w:p>
    <w:p w14:paraId="79B218D7" w14:textId="77777777" w:rsidR="00000000" w:rsidRDefault="00000000">
      <w:pPr>
        <w:spacing w:before="50" w:after="50" w:line="360" w:lineRule="auto"/>
        <w:ind w:firstLineChars="200" w:firstLine="480"/>
        <w:rPr>
          <w:bCs/>
          <w:sz w:val="24"/>
          <w:szCs w:val="24"/>
        </w:rPr>
      </w:pPr>
      <w:r>
        <w:rPr>
          <w:color w:val="000000"/>
          <w:sz w:val="24"/>
        </w:rPr>
        <w:t>本次购买资产拟发行股份数量为</w:t>
      </w:r>
      <w:r>
        <w:rPr>
          <w:rFonts w:hint="eastAsia"/>
          <w:color w:val="000000"/>
          <w:sz w:val="24"/>
        </w:rPr>
        <w:t>51,786,920</w:t>
      </w:r>
      <w:r>
        <w:rPr>
          <w:color w:val="000000"/>
          <w:sz w:val="24"/>
        </w:rPr>
        <w:t>股，本次购买资产对应发行股份的数量占发行后</w:t>
      </w:r>
      <w:r>
        <w:rPr>
          <w:rFonts w:hint="eastAsia"/>
          <w:color w:val="000000"/>
          <w:sz w:val="24"/>
        </w:rPr>
        <w:t>（含募集配套资金）上市公司</w:t>
      </w:r>
      <w:r>
        <w:rPr>
          <w:color w:val="000000"/>
          <w:sz w:val="24"/>
        </w:rPr>
        <w:t>总股本</w:t>
      </w:r>
      <w:r>
        <w:rPr>
          <w:rFonts w:hint="eastAsia"/>
          <w:color w:val="000000"/>
          <w:sz w:val="24"/>
        </w:rPr>
        <w:t>的</w:t>
      </w:r>
      <w:r>
        <w:rPr>
          <w:color w:val="000000"/>
          <w:sz w:val="24"/>
        </w:rPr>
        <w:t>比例为</w:t>
      </w:r>
      <w:r>
        <w:rPr>
          <w:rFonts w:hint="eastAsia"/>
          <w:color w:val="000000"/>
          <w:sz w:val="24"/>
        </w:rPr>
        <w:t>4.97</w:t>
      </w:r>
      <w:r>
        <w:rPr>
          <w:color w:val="000000"/>
          <w:sz w:val="24"/>
        </w:rPr>
        <w:t>%</w:t>
      </w:r>
      <w:r>
        <w:rPr>
          <w:color w:val="000000"/>
          <w:sz w:val="24"/>
        </w:rPr>
        <w:t>。</w:t>
      </w:r>
    </w:p>
    <w:p w14:paraId="406FF973" w14:textId="77777777" w:rsidR="00000000" w:rsidRDefault="00000000">
      <w:pPr>
        <w:spacing w:before="50" w:after="50" w:line="360" w:lineRule="auto"/>
        <w:ind w:firstLineChars="200" w:firstLine="480"/>
        <w:rPr>
          <w:bCs/>
          <w:sz w:val="24"/>
          <w:szCs w:val="24"/>
        </w:rPr>
      </w:pPr>
      <w:r>
        <w:rPr>
          <w:bCs/>
          <w:sz w:val="24"/>
          <w:szCs w:val="24"/>
        </w:rPr>
        <w:t>在定价基准日至股份上市日期间，若公司发生派发股利、送红股、转增股本或配股等除息、除权行为，本次发行价格及数量将作相应调整。</w:t>
      </w:r>
    </w:p>
    <w:p w14:paraId="22C188AC"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75A4E46E"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51DC47C5" w14:textId="77777777" w:rsidR="00000000" w:rsidRDefault="00000000">
      <w:pPr>
        <w:spacing w:before="50" w:after="50" w:line="360" w:lineRule="auto"/>
        <w:ind w:firstLineChars="200" w:firstLine="480"/>
        <w:rPr>
          <w:bCs/>
          <w:sz w:val="24"/>
          <w:szCs w:val="24"/>
        </w:rPr>
      </w:pPr>
      <w:r>
        <w:rPr>
          <w:bCs/>
          <w:sz w:val="24"/>
          <w:szCs w:val="24"/>
        </w:rPr>
        <w:t>表决结果：通过。</w:t>
      </w:r>
    </w:p>
    <w:p w14:paraId="0ABA3B7E" w14:textId="77777777" w:rsidR="00000000" w:rsidRDefault="00000000">
      <w:pPr>
        <w:spacing w:before="50" w:after="50" w:line="360" w:lineRule="auto"/>
        <w:ind w:firstLineChars="200" w:firstLine="482"/>
        <w:rPr>
          <w:b/>
          <w:sz w:val="24"/>
          <w:szCs w:val="24"/>
        </w:rPr>
      </w:pPr>
      <w:r>
        <w:rPr>
          <w:rFonts w:ascii="宋体" w:hAnsi="宋体" w:hint="eastAsia"/>
          <w:b/>
          <w:bCs/>
          <w:color w:val="000000"/>
          <w:sz w:val="24"/>
        </w:rPr>
        <w:t>⑥</w:t>
      </w:r>
      <w:r>
        <w:rPr>
          <w:b/>
          <w:bCs/>
          <w:color w:val="000000"/>
          <w:sz w:val="24"/>
        </w:rPr>
        <w:t>业绩承诺及补偿安排</w:t>
      </w:r>
    </w:p>
    <w:p w14:paraId="25890BF8" w14:textId="77777777" w:rsidR="00000000" w:rsidRDefault="00000000">
      <w:pPr>
        <w:spacing w:before="50" w:after="50" w:line="360" w:lineRule="auto"/>
        <w:ind w:firstLineChars="200" w:firstLine="480"/>
        <w:rPr>
          <w:bCs/>
          <w:sz w:val="24"/>
          <w:szCs w:val="24"/>
        </w:rPr>
      </w:pPr>
      <w:r>
        <w:rPr>
          <w:bCs/>
          <w:sz w:val="24"/>
          <w:szCs w:val="24"/>
        </w:rPr>
        <w:t>A</w:t>
      </w:r>
      <w:r>
        <w:rPr>
          <w:rFonts w:hint="eastAsia"/>
          <w:bCs/>
          <w:sz w:val="24"/>
          <w:szCs w:val="24"/>
        </w:rPr>
        <w:t>．</w:t>
      </w:r>
      <w:r>
        <w:rPr>
          <w:bCs/>
          <w:sz w:val="24"/>
          <w:szCs w:val="24"/>
        </w:rPr>
        <w:t>业绩承诺期</w:t>
      </w:r>
    </w:p>
    <w:p w14:paraId="159CEF9B" w14:textId="77777777" w:rsidR="00000000" w:rsidRDefault="00000000">
      <w:pPr>
        <w:spacing w:before="50" w:after="50" w:line="360" w:lineRule="auto"/>
        <w:ind w:firstLineChars="200" w:firstLine="480"/>
        <w:rPr>
          <w:bCs/>
          <w:sz w:val="24"/>
          <w:szCs w:val="24"/>
        </w:rPr>
      </w:pPr>
      <w:r>
        <w:rPr>
          <w:bCs/>
          <w:sz w:val="24"/>
          <w:szCs w:val="24"/>
        </w:rPr>
        <w:t>业绩承诺期为</w:t>
      </w:r>
      <w:r>
        <w:rPr>
          <w:bCs/>
          <w:sz w:val="24"/>
          <w:szCs w:val="24"/>
        </w:rPr>
        <w:t>2023</w:t>
      </w:r>
      <w:r>
        <w:rPr>
          <w:bCs/>
          <w:sz w:val="24"/>
          <w:szCs w:val="24"/>
        </w:rPr>
        <w:t>年度、</w:t>
      </w:r>
      <w:r>
        <w:rPr>
          <w:bCs/>
          <w:sz w:val="24"/>
          <w:szCs w:val="24"/>
        </w:rPr>
        <w:t>2024</w:t>
      </w:r>
      <w:r>
        <w:rPr>
          <w:bCs/>
          <w:sz w:val="24"/>
          <w:szCs w:val="24"/>
        </w:rPr>
        <w:t>年度、</w:t>
      </w:r>
      <w:r>
        <w:rPr>
          <w:bCs/>
          <w:sz w:val="24"/>
          <w:szCs w:val="24"/>
        </w:rPr>
        <w:t>2025</w:t>
      </w:r>
      <w:r>
        <w:rPr>
          <w:bCs/>
          <w:sz w:val="24"/>
          <w:szCs w:val="24"/>
        </w:rPr>
        <w:t>年度。</w:t>
      </w:r>
    </w:p>
    <w:p w14:paraId="40A0BDDD" w14:textId="77777777" w:rsidR="00000000" w:rsidRDefault="00000000">
      <w:pPr>
        <w:spacing w:before="50" w:after="50" w:line="360" w:lineRule="auto"/>
        <w:ind w:firstLineChars="200" w:firstLine="480"/>
        <w:rPr>
          <w:bCs/>
          <w:sz w:val="24"/>
          <w:szCs w:val="24"/>
        </w:rPr>
      </w:pPr>
      <w:r>
        <w:rPr>
          <w:bCs/>
          <w:sz w:val="24"/>
          <w:szCs w:val="24"/>
        </w:rPr>
        <w:t>B</w:t>
      </w:r>
      <w:r>
        <w:rPr>
          <w:rFonts w:hint="eastAsia"/>
          <w:bCs/>
          <w:sz w:val="24"/>
          <w:szCs w:val="24"/>
        </w:rPr>
        <w:t>．</w:t>
      </w:r>
      <w:r>
        <w:rPr>
          <w:bCs/>
          <w:sz w:val="24"/>
          <w:szCs w:val="24"/>
        </w:rPr>
        <w:t>业绩承诺指标</w:t>
      </w:r>
    </w:p>
    <w:p w14:paraId="71A095BB" w14:textId="77777777" w:rsidR="00000000" w:rsidRDefault="00000000">
      <w:pPr>
        <w:spacing w:before="50" w:after="50" w:line="360" w:lineRule="auto"/>
        <w:ind w:firstLineChars="200" w:firstLine="480"/>
        <w:rPr>
          <w:bCs/>
          <w:sz w:val="24"/>
          <w:szCs w:val="24"/>
        </w:rPr>
      </w:pPr>
      <w:bookmarkStart w:id="3" w:name="_Hlk104368642"/>
      <w:r>
        <w:rPr>
          <w:bCs/>
          <w:sz w:val="24"/>
          <w:szCs w:val="24"/>
        </w:rPr>
        <w:lastRenderedPageBreak/>
        <w:t>本次业绩承诺方核技术公司及云科通承诺，标的公司</w:t>
      </w:r>
      <w:r>
        <w:rPr>
          <w:bCs/>
          <w:sz w:val="24"/>
          <w:szCs w:val="24"/>
        </w:rPr>
        <w:t>2023</w:t>
      </w:r>
      <w:r>
        <w:rPr>
          <w:bCs/>
          <w:sz w:val="24"/>
          <w:szCs w:val="24"/>
        </w:rPr>
        <w:t>年度、</w:t>
      </w:r>
      <w:r>
        <w:rPr>
          <w:bCs/>
          <w:sz w:val="24"/>
          <w:szCs w:val="24"/>
        </w:rPr>
        <w:t>2024</w:t>
      </w:r>
      <w:r>
        <w:rPr>
          <w:bCs/>
          <w:sz w:val="24"/>
          <w:szCs w:val="24"/>
        </w:rPr>
        <w:t>年度和</w:t>
      </w:r>
      <w:r>
        <w:rPr>
          <w:bCs/>
          <w:sz w:val="24"/>
          <w:szCs w:val="24"/>
        </w:rPr>
        <w:t>2025</w:t>
      </w:r>
      <w:r>
        <w:rPr>
          <w:bCs/>
          <w:sz w:val="24"/>
          <w:szCs w:val="24"/>
        </w:rPr>
        <w:t>年度承诺实现扣除非经常性损益后归属于母公司所有者的净利润数分别为</w:t>
      </w:r>
      <w:r>
        <w:rPr>
          <w:bCs/>
          <w:sz w:val="24"/>
          <w:szCs w:val="24"/>
        </w:rPr>
        <w:t>4,364.6</w:t>
      </w:r>
      <w:r>
        <w:rPr>
          <w:rFonts w:hint="eastAsia"/>
          <w:bCs/>
          <w:sz w:val="24"/>
          <w:szCs w:val="24"/>
        </w:rPr>
        <w:t>9</w:t>
      </w:r>
      <w:r>
        <w:rPr>
          <w:bCs/>
          <w:sz w:val="24"/>
          <w:szCs w:val="24"/>
        </w:rPr>
        <w:t>万元、</w:t>
      </w:r>
      <w:r>
        <w:rPr>
          <w:bCs/>
          <w:sz w:val="24"/>
          <w:szCs w:val="24"/>
        </w:rPr>
        <w:t>5,350.75</w:t>
      </w:r>
      <w:r>
        <w:rPr>
          <w:bCs/>
          <w:sz w:val="24"/>
          <w:szCs w:val="24"/>
        </w:rPr>
        <w:t>万元及</w:t>
      </w:r>
      <w:r>
        <w:rPr>
          <w:bCs/>
          <w:sz w:val="24"/>
          <w:szCs w:val="24"/>
        </w:rPr>
        <w:t>6,452.6</w:t>
      </w:r>
      <w:r>
        <w:rPr>
          <w:rFonts w:hint="eastAsia"/>
          <w:bCs/>
          <w:sz w:val="24"/>
          <w:szCs w:val="24"/>
        </w:rPr>
        <w:t>6</w:t>
      </w:r>
      <w:r>
        <w:rPr>
          <w:bCs/>
          <w:sz w:val="24"/>
          <w:szCs w:val="24"/>
        </w:rPr>
        <w:t>万元，累计净利润数为</w:t>
      </w:r>
      <w:r>
        <w:rPr>
          <w:bCs/>
          <w:sz w:val="24"/>
          <w:szCs w:val="24"/>
        </w:rPr>
        <w:t>16,168.10</w:t>
      </w:r>
      <w:r>
        <w:rPr>
          <w:bCs/>
          <w:sz w:val="24"/>
          <w:szCs w:val="24"/>
        </w:rPr>
        <w:t>万元。</w:t>
      </w:r>
    </w:p>
    <w:bookmarkEnd w:id="3"/>
    <w:p w14:paraId="389D2DF5" w14:textId="77777777" w:rsidR="00000000" w:rsidRDefault="00000000">
      <w:pPr>
        <w:spacing w:before="50" w:after="50" w:line="360" w:lineRule="auto"/>
        <w:ind w:firstLineChars="200" w:firstLine="480"/>
        <w:rPr>
          <w:bCs/>
          <w:sz w:val="24"/>
          <w:szCs w:val="24"/>
        </w:rPr>
      </w:pPr>
      <w:r>
        <w:rPr>
          <w:bCs/>
          <w:sz w:val="24"/>
          <w:szCs w:val="24"/>
        </w:rPr>
        <w:t>C</w:t>
      </w:r>
      <w:r>
        <w:rPr>
          <w:rFonts w:hint="eastAsia"/>
          <w:bCs/>
          <w:sz w:val="24"/>
          <w:szCs w:val="24"/>
        </w:rPr>
        <w:t>．</w:t>
      </w:r>
      <w:r>
        <w:rPr>
          <w:bCs/>
          <w:sz w:val="24"/>
          <w:szCs w:val="24"/>
        </w:rPr>
        <w:t>利润的确定</w:t>
      </w:r>
    </w:p>
    <w:p w14:paraId="00F8CFC6" w14:textId="77777777" w:rsidR="00000000" w:rsidRDefault="00000000">
      <w:pPr>
        <w:spacing w:before="50" w:after="50" w:line="360" w:lineRule="auto"/>
        <w:ind w:firstLineChars="200" w:firstLine="480"/>
        <w:rPr>
          <w:bCs/>
          <w:sz w:val="24"/>
          <w:szCs w:val="24"/>
        </w:rPr>
      </w:pPr>
      <w:r>
        <w:rPr>
          <w:bCs/>
          <w:sz w:val="24"/>
          <w:szCs w:val="24"/>
        </w:rPr>
        <w:t>承诺期间内，由公司指定的具有专业资质的会计师事务所对标的公司</w:t>
      </w:r>
      <w:r>
        <w:rPr>
          <w:bCs/>
          <w:sz w:val="24"/>
          <w:szCs w:val="24"/>
        </w:rPr>
        <w:t>2023</w:t>
      </w:r>
      <w:r>
        <w:rPr>
          <w:bCs/>
          <w:sz w:val="24"/>
          <w:szCs w:val="24"/>
        </w:rPr>
        <w:t>年至</w:t>
      </w:r>
      <w:r>
        <w:rPr>
          <w:bCs/>
          <w:sz w:val="24"/>
          <w:szCs w:val="24"/>
        </w:rPr>
        <w:t>2025</w:t>
      </w:r>
      <w:r>
        <w:rPr>
          <w:bCs/>
          <w:sz w:val="24"/>
          <w:szCs w:val="24"/>
        </w:rPr>
        <w:t>年各会计年度进行审计，并以会计师事务所出具的标准无保留意见的专项审计报告作为净利润的确定依据。</w:t>
      </w:r>
    </w:p>
    <w:p w14:paraId="64478225" w14:textId="77777777" w:rsidR="00000000" w:rsidRDefault="00000000">
      <w:pPr>
        <w:spacing w:before="50" w:after="50" w:line="360" w:lineRule="auto"/>
        <w:ind w:firstLineChars="200" w:firstLine="480"/>
        <w:rPr>
          <w:bCs/>
          <w:sz w:val="24"/>
          <w:szCs w:val="24"/>
        </w:rPr>
      </w:pPr>
      <w:r>
        <w:rPr>
          <w:bCs/>
          <w:sz w:val="24"/>
          <w:szCs w:val="24"/>
        </w:rPr>
        <w:t>D</w:t>
      </w:r>
      <w:r>
        <w:rPr>
          <w:rFonts w:hint="eastAsia"/>
          <w:bCs/>
          <w:sz w:val="24"/>
          <w:szCs w:val="24"/>
        </w:rPr>
        <w:t>．</w:t>
      </w:r>
      <w:r>
        <w:rPr>
          <w:bCs/>
          <w:sz w:val="24"/>
          <w:szCs w:val="24"/>
        </w:rPr>
        <w:t>补偿方式及计算公式</w:t>
      </w:r>
    </w:p>
    <w:p w14:paraId="2658AD85" w14:textId="77777777" w:rsidR="00000000" w:rsidRDefault="00000000">
      <w:pPr>
        <w:spacing w:before="50" w:after="50" w:line="360" w:lineRule="auto"/>
        <w:ind w:firstLineChars="200" w:firstLine="480"/>
        <w:rPr>
          <w:bCs/>
          <w:sz w:val="24"/>
          <w:szCs w:val="24"/>
        </w:rPr>
      </w:pPr>
      <w:r>
        <w:rPr>
          <w:bCs/>
          <w:sz w:val="24"/>
          <w:szCs w:val="24"/>
        </w:rPr>
        <w:t>公司与交易对方协商一致同意，在承诺期间内，每一会计年度的实际净利润应不低于相应年度的承诺净利润。如果标的公司的实际净利润低于承诺净利润，则就其差额部分，由业绩承诺方向公司进行补偿</w:t>
      </w:r>
      <w:bookmarkStart w:id="4" w:name="_Hlk107354481"/>
      <w:r>
        <w:rPr>
          <w:bCs/>
          <w:sz w:val="24"/>
          <w:szCs w:val="24"/>
        </w:rPr>
        <w:t>。交易对方具体补偿方式及计算公式如下：</w:t>
      </w:r>
      <w:bookmarkStart w:id="5" w:name="_Hlk107354000"/>
      <w:bookmarkEnd w:id="4"/>
    </w:p>
    <w:p w14:paraId="330591B9" w14:textId="77777777" w:rsidR="00000000" w:rsidRDefault="00000000">
      <w:pPr>
        <w:spacing w:before="50" w:after="50" w:line="360" w:lineRule="auto"/>
        <w:ind w:firstLineChars="200" w:firstLine="480"/>
        <w:rPr>
          <w:bCs/>
          <w:sz w:val="24"/>
          <w:szCs w:val="24"/>
        </w:rPr>
      </w:pPr>
      <w:r>
        <w:rPr>
          <w:bCs/>
          <w:sz w:val="24"/>
          <w:szCs w:val="24"/>
        </w:rPr>
        <w:t>a.</w:t>
      </w:r>
      <w:r>
        <w:rPr>
          <w:bCs/>
          <w:sz w:val="24"/>
          <w:szCs w:val="24"/>
        </w:rPr>
        <w:t>核技术公司</w:t>
      </w:r>
    </w:p>
    <w:p w14:paraId="77B427D7" w14:textId="77777777" w:rsidR="00000000" w:rsidRDefault="00000000">
      <w:pPr>
        <w:spacing w:before="50" w:after="50" w:line="360" w:lineRule="auto"/>
        <w:ind w:firstLineChars="200" w:firstLine="480"/>
        <w:rPr>
          <w:bCs/>
          <w:sz w:val="24"/>
          <w:szCs w:val="24"/>
        </w:rPr>
      </w:pPr>
      <w:r>
        <w:rPr>
          <w:bCs/>
          <w:sz w:val="24"/>
          <w:szCs w:val="24"/>
        </w:rPr>
        <w:t>核技术公司应优先采用股份补偿，核技术公司持有的因本次交易而获得的股份不足以覆盖当期补偿金额的，不足部分采用现金补偿，具体补偿的计算公式为：</w:t>
      </w:r>
    </w:p>
    <w:p w14:paraId="556967CD" w14:textId="77777777" w:rsidR="00000000" w:rsidRDefault="00000000">
      <w:pPr>
        <w:spacing w:before="50" w:after="50" w:line="360" w:lineRule="auto"/>
        <w:ind w:firstLineChars="200" w:firstLine="480"/>
        <w:rPr>
          <w:bCs/>
          <w:sz w:val="24"/>
          <w:szCs w:val="24"/>
        </w:rPr>
      </w:pPr>
      <w:r>
        <w:rPr>
          <w:bCs/>
          <w:sz w:val="24"/>
          <w:szCs w:val="24"/>
        </w:rPr>
        <w:t>当期需补偿金额</w:t>
      </w:r>
      <w:r>
        <w:rPr>
          <w:bCs/>
          <w:sz w:val="24"/>
          <w:szCs w:val="24"/>
        </w:rPr>
        <w:t>=</w:t>
      </w:r>
      <w:r>
        <w:rPr>
          <w:bCs/>
          <w:sz w:val="24"/>
          <w:szCs w:val="24"/>
        </w:rPr>
        <w:t>（截至当期期末累计承诺净利润数</w:t>
      </w:r>
      <w:r>
        <w:rPr>
          <w:bCs/>
          <w:sz w:val="24"/>
          <w:szCs w:val="24"/>
        </w:rPr>
        <w:t>-</w:t>
      </w:r>
      <w:r>
        <w:rPr>
          <w:bCs/>
          <w:sz w:val="24"/>
          <w:szCs w:val="24"/>
        </w:rPr>
        <w:t>截至当期期末累计实现净利润数）</w:t>
      </w:r>
      <w:r>
        <w:rPr>
          <w:bCs/>
          <w:sz w:val="24"/>
          <w:szCs w:val="24"/>
        </w:rPr>
        <w:t>÷</w:t>
      </w:r>
      <w:r>
        <w:rPr>
          <w:bCs/>
          <w:sz w:val="24"/>
          <w:szCs w:val="24"/>
        </w:rPr>
        <w:t>承诺期间内各年度的承诺净利润数总和</w:t>
      </w:r>
      <w:r>
        <w:rPr>
          <w:bCs/>
          <w:sz w:val="24"/>
          <w:szCs w:val="24"/>
        </w:rPr>
        <w:t>×</w:t>
      </w:r>
      <w:r>
        <w:rPr>
          <w:bCs/>
          <w:sz w:val="24"/>
          <w:szCs w:val="24"/>
        </w:rPr>
        <w:t>标的公司股东全部权益价值经备案的评估结果</w:t>
      </w:r>
      <w:r>
        <w:rPr>
          <w:bCs/>
          <w:sz w:val="24"/>
          <w:szCs w:val="24"/>
        </w:rPr>
        <w:t>×</w:t>
      </w:r>
      <w:r>
        <w:rPr>
          <w:bCs/>
          <w:sz w:val="24"/>
          <w:szCs w:val="24"/>
        </w:rPr>
        <w:t>核技术公司拟转让的标的公司股权比例</w:t>
      </w:r>
      <w:r>
        <w:rPr>
          <w:bCs/>
          <w:sz w:val="24"/>
          <w:szCs w:val="24"/>
        </w:rPr>
        <w:t>-</w:t>
      </w:r>
      <w:r>
        <w:rPr>
          <w:bCs/>
          <w:sz w:val="24"/>
          <w:szCs w:val="24"/>
        </w:rPr>
        <w:t>核技术公司累计已补偿金额。（如计算结果为负数，则补偿为零）</w:t>
      </w:r>
    </w:p>
    <w:p w14:paraId="47C017B0" w14:textId="77777777" w:rsidR="00000000" w:rsidRDefault="00000000">
      <w:pPr>
        <w:spacing w:before="50" w:after="50" w:line="360" w:lineRule="auto"/>
        <w:ind w:firstLineChars="200" w:firstLine="480"/>
        <w:rPr>
          <w:bCs/>
          <w:sz w:val="24"/>
          <w:szCs w:val="24"/>
        </w:rPr>
      </w:pPr>
      <w:r>
        <w:rPr>
          <w:bCs/>
          <w:sz w:val="24"/>
          <w:szCs w:val="24"/>
        </w:rPr>
        <w:t>当期需补偿的股份数量</w:t>
      </w:r>
      <w:r>
        <w:rPr>
          <w:bCs/>
          <w:sz w:val="24"/>
          <w:szCs w:val="24"/>
        </w:rPr>
        <w:t>=</w:t>
      </w:r>
      <w:r>
        <w:rPr>
          <w:bCs/>
          <w:sz w:val="24"/>
          <w:szCs w:val="24"/>
        </w:rPr>
        <w:t>当期需补偿金额</w:t>
      </w:r>
      <w:r>
        <w:rPr>
          <w:bCs/>
          <w:sz w:val="24"/>
          <w:szCs w:val="24"/>
        </w:rPr>
        <w:t>÷</w:t>
      </w:r>
      <w:r>
        <w:rPr>
          <w:bCs/>
          <w:sz w:val="24"/>
          <w:szCs w:val="24"/>
        </w:rPr>
        <w:t>本次交易股份发行价格。当年应补偿股份计算结果向上取整数。</w:t>
      </w:r>
    </w:p>
    <w:p w14:paraId="2F598A37" w14:textId="77777777" w:rsidR="00000000" w:rsidRDefault="00000000">
      <w:pPr>
        <w:spacing w:before="50" w:after="50" w:line="360" w:lineRule="auto"/>
        <w:ind w:firstLineChars="200" w:firstLine="480"/>
        <w:rPr>
          <w:bCs/>
          <w:sz w:val="24"/>
          <w:szCs w:val="24"/>
        </w:rPr>
      </w:pPr>
      <w:r>
        <w:rPr>
          <w:bCs/>
          <w:sz w:val="24"/>
          <w:szCs w:val="24"/>
        </w:rPr>
        <w:t>如公司在业绩承诺期间内实施送股、转增股本的，上述公式的应补偿股份数量调整为：按照上述公式计算的当期需补偿股份数量</w:t>
      </w:r>
      <w:r>
        <w:rPr>
          <w:bCs/>
          <w:sz w:val="24"/>
          <w:szCs w:val="24"/>
        </w:rPr>
        <w:t>×</w:t>
      </w:r>
      <w:r>
        <w:rPr>
          <w:bCs/>
          <w:sz w:val="24"/>
          <w:szCs w:val="24"/>
        </w:rPr>
        <w:t>（</w:t>
      </w:r>
      <w:r>
        <w:rPr>
          <w:bCs/>
          <w:sz w:val="24"/>
          <w:szCs w:val="24"/>
        </w:rPr>
        <w:t>1+</w:t>
      </w:r>
      <w:r>
        <w:rPr>
          <w:bCs/>
          <w:sz w:val="24"/>
          <w:szCs w:val="24"/>
        </w:rPr>
        <w:t>转增或送股比例）。</w:t>
      </w:r>
    </w:p>
    <w:p w14:paraId="19181A34" w14:textId="77777777" w:rsidR="00000000" w:rsidRDefault="00000000">
      <w:pPr>
        <w:spacing w:before="50" w:after="50" w:line="360" w:lineRule="auto"/>
        <w:ind w:firstLineChars="200" w:firstLine="480"/>
        <w:rPr>
          <w:bCs/>
          <w:sz w:val="24"/>
          <w:szCs w:val="24"/>
        </w:rPr>
      </w:pPr>
      <w:r>
        <w:rPr>
          <w:bCs/>
          <w:sz w:val="24"/>
          <w:szCs w:val="24"/>
        </w:rPr>
        <w:t>如公司在承诺期间内实施现金分红，且核技术公司需向公司补偿股份，核技术公司应将需补偿股份数量对应的分红款返还给公司，返还的计算公式为：返还金额</w:t>
      </w:r>
      <w:r>
        <w:rPr>
          <w:bCs/>
          <w:sz w:val="24"/>
          <w:szCs w:val="24"/>
        </w:rPr>
        <w:t>=</w:t>
      </w:r>
      <w:r>
        <w:rPr>
          <w:bCs/>
          <w:sz w:val="24"/>
          <w:szCs w:val="24"/>
        </w:rPr>
        <w:t>截至补偿前每股已获得的现金分红收益</w:t>
      </w:r>
      <w:r>
        <w:rPr>
          <w:bCs/>
          <w:sz w:val="24"/>
          <w:szCs w:val="24"/>
        </w:rPr>
        <w:t>×</w:t>
      </w:r>
      <w:r>
        <w:rPr>
          <w:bCs/>
          <w:sz w:val="24"/>
          <w:szCs w:val="24"/>
        </w:rPr>
        <w:t>当年应补偿股份数量。返还金额</w:t>
      </w:r>
      <w:r>
        <w:rPr>
          <w:bCs/>
          <w:sz w:val="24"/>
          <w:szCs w:val="24"/>
        </w:rPr>
        <w:lastRenderedPageBreak/>
        <w:t>不作为已补偿金额，不计入应补偿金额的计算公式。核技术公司应于收到公司发出的关于返还现金分红的书面通知后的</w:t>
      </w:r>
      <w:r>
        <w:rPr>
          <w:bCs/>
          <w:sz w:val="24"/>
          <w:szCs w:val="24"/>
        </w:rPr>
        <w:t>30</w:t>
      </w:r>
      <w:r>
        <w:rPr>
          <w:bCs/>
          <w:sz w:val="24"/>
          <w:szCs w:val="24"/>
        </w:rPr>
        <w:t>个工作日内返还至公司。</w:t>
      </w:r>
    </w:p>
    <w:p w14:paraId="4CB1F589" w14:textId="77777777" w:rsidR="00000000" w:rsidRDefault="00000000">
      <w:pPr>
        <w:spacing w:before="50" w:after="50" w:line="360" w:lineRule="auto"/>
        <w:ind w:firstLineChars="200" w:firstLine="480"/>
        <w:rPr>
          <w:bCs/>
          <w:sz w:val="24"/>
          <w:szCs w:val="24"/>
        </w:rPr>
      </w:pPr>
      <w:r>
        <w:rPr>
          <w:bCs/>
          <w:sz w:val="24"/>
          <w:szCs w:val="24"/>
        </w:rPr>
        <w:t>b.</w:t>
      </w:r>
      <w:r>
        <w:rPr>
          <w:bCs/>
          <w:sz w:val="24"/>
          <w:szCs w:val="24"/>
        </w:rPr>
        <w:t>云科通</w:t>
      </w:r>
    </w:p>
    <w:p w14:paraId="62256EE5" w14:textId="77777777" w:rsidR="00000000" w:rsidRDefault="00000000">
      <w:pPr>
        <w:spacing w:before="50" w:after="50" w:line="360" w:lineRule="auto"/>
        <w:ind w:firstLineChars="200" w:firstLine="480"/>
        <w:rPr>
          <w:bCs/>
          <w:sz w:val="24"/>
          <w:szCs w:val="24"/>
        </w:rPr>
      </w:pPr>
      <w:r>
        <w:rPr>
          <w:bCs/>
          <w:sz w:val="24"/>
          <w:szCs w:val="24"/>
        </w:rPr>
        <w:t>云科通应优先采用股份补偿，云科通持有的因本次交易而获得的股份不足以覆盖当期补偿金额的，不足部分采用现金补偿。云科通具体补偿的计算公式为：</w:t>
      </w:r>
    </w:p>
    <w:p w14:paraId="511C3722" w14:textId="77777777" w:rsidR="00000000" w:rsidRDefault="00000000">
      <w:pPr>
        <w:spacing w:before="50" w:after="50" w:line="360" w:lineRule="auto"/>
        <w:ind w:firstLineChars="200" w:firstLine="480"/>
        <w:rPr>
          <w:bCs/>
          <w:sz w:val="24"/>
          <w:szCs w:val="24"/>
        </w:rPr>
      </w:pPr>
      <w:r>
        <w:rPr>
          <w:bCs/>
          <w:sz w:val="24"/>
          <w:szCs w:val="24"/>
        </w:rPr>
        <w:t>当期需补偿金额</w:t>
      </w:r>
      <w:r>
        <w:rPr>
          <w:bCs/>
          <w:sz w:val="24"/>
          <w:szCs w:val="24"/>
        </w:rPr>
        <w:t>=</w:t>
      </w:r>
      <w:r>
        <w:rPr>
          <w:bCs/>
          <w:sz w:val="24"/>
          <w:szCs w:val="24"/>
        </w:rPr>
        <w:t>（截至当期期末累计承诺净利润数</w:t>
      </w:r>
      <w:r>
        <w:rPr>
          <w:bCs/>
          <w:sz w:val="24"/>
          <w:szCs w:val="24"/>
        </w:rPr>
        <w:t>-</w:t>
      </w:r>
      <w:r>
        <w:rPr>
          <w:bCs/>
          <w:sz w:val="24"/>
          <w:szCs w:val="24"/>
        </w:rPr>
        <w:t>截至当期期末累计实现净利润数）</w:t>
      </w:r>
      <w:r>
        <w:rPr>
          <w:bCs/>
          <w:sz w:val="24"/>
          <w:szCs w:val="24"/>
        </w:rPr>
        <w:t>÷</w:t>
      </w:r>
      <w:r>
        <w:rPr>
          <w:bCs/>
          <w:sz w:val="24"/>
          <w:szCs w:val="24"/>
        </w:rPr>
        <w:t>承诺期间内各年度的承诺净利润数总和</w:t>
      </w:r>
      <w:r>
        <w:rPr>
          <w:bCs/>
          <w:sz w:val="24"/>
          <w:szCs w:val="24"/>
        </w:rPr>
        <w:t>×</w:t>
      </w:r>
      <w:r>
        <w:rPr>
          <w:bCs/>
          <w:sz w:val="24"/>
          <w:szCs w:val="24"/>
        </w:rPr>
        <w:t>标的公司股东全部权益价值经备案的评估结果</w:t>
      </w:r>
      <w:r>
        <w:rPr>
          <w:bCs/>
          <w:sz w:val="24"/>
          <w:szCs w:val="24"/>
        </w:rPr>
        <w:t>×</w:t>
      </w:r>
      <w:r>
        <w:rPr>
          <w:bCs/>
          <w:sz w:val="24"/>
          <w:szCs w:val="24"/>
        </w:rPr>
        <w:t>云科通拟转让的标的公司股权比例</w:t>
      </w:r>
      <w:r>
        <w:rPr>
          <w:bCs/>
          <w:sz w:val="24"/>
          <w:szCs w:val="24"/>
        </w:rPr>
        <w:t>-</w:t>
      </w:r>
      <w:r>
        <w:rPr>
          <w:bCs/>
          <w:sz w:val="24"/>
          <w:szCs w:val="24"/>
        </w:rPr>
        <w:t>云科通累计已补偿金额。（如计算结果为负数，则补偿为零）</w:t>
      </w:r>
    </w:p>
    <w:p w14:paraId="427BFB6D" w14:textId="77777777" w:rsidR="00000000" w:rsidRDefault="00000000">
      <w:pPr>
        <w:spacing w:before="50" w:after="50" w:line="360" w:lineRule="auto"/>
        <w:ind w:firstLineChars="200" w:firstLine="480"/>
        <w:rPr>
          <w:bCs/>
          <w:sz w:val="24"/>
          <w:szCs w:val="24"/>
        </w:rPr>
      </w:pPr>
      <w:r>
        <w:rPr>
          <w:bCs/>
          <w:sz w:val="24"/>
          <w:szCs w:val="24"/>
        </w:rPr>
        <w:t>当期需补偿的股份数量</w:t>
      </w:r>
      <w:r>
        <w:rPr>
          <w:bCs/>
          <w:sz w:val="24"/>
          <w:szCs w:val="24"/>
        </w:rPr>
        <w:t>=</w:t>
      </w:r>
      <w:r>
        <w:rPr>
          <w:bCs/>
          <w:sz w:val="24"/>
          <w:szCs w:val="24"/>
        </w:rPr>
        <w:t>当期需补偿金额</w:t>
      </w:r>
      <w:r>
        <w:rPr>
          <w:bCs/>
          <w:sz w:val="24"/>
          <w:szCs w:val="24"/>
        </w:rPr>
        <w:t>÷</w:t>
      </w:r>
      <w:r>
        <w:rPr>
          <w:bCs/>
          <w:sz w:val="24"/>
          <w:szCs w:val="24"/>
        </w:rPr>
        <w:t>本次交易股份发行价格。当年应补偿股份计算结果向上取整数。</w:t>
      </w:r>
    </w:p>
    <w:p w14:paraId="296969E7" w14:textId="77777777" w:rsidR="00000000" w:rsidRDefault="00000000">
      <w:pPr>
        <w:spacing w:before="50" w:after="50" w:line="360" w:lineRule="auto"/>
        <w:ind w:firstLineChars="200" w:firstLine="480"/>
        <w:rPr>
          <w:bCs/>
          <w:sz w:val="24"/>
          <w:szCs w:val="24"/>
        </w:rPr>
      </w:pPr>
      <w:r>
        <w:rPr>
          <w:bCs/>
          <w:sz w:val="24"/>
          <w:szCs w:val="24"/>
        </w:rPr>
        <w:t>如公司在业绩承诺期间内实施送股、转增股本的，上述公式的应补偿股份数量调整为：按照上述公式计算的当期需补偿股份数量</w:t>
      </w:r>
      <w:r>
        <w:rPr>
          <w:bCs/>
          <w:sz w:val="24"/>
          <w:szCs w:val="24"/>
        </w:rPr>
        <w:t>×</w:t>
      </w:r>
      <w:r>
        <w:rPr>
          <w:bCs/>
          <w:sz w:val="24"/>
          <w:szCs w:val="24"/>
        </w:rPr>
        <w:t>（</w:t>
      </w:r>
      <w:r>
        <w:rPr>
          <w:bCs/>
          <w:sz w:val="24"/>
          <w:szCs w:val="24"/>
        </w:rPr>
        <w:t>1+</w:t>
      </w:r>
      <w:r>
        <w:rPr>
          <w:bCs/>
          <w:sz w:val="24"/>
          <w:szCs w:val="24"/>
        </w:rPr>
        <w:t>转增或送股比例）。</w:t>
      </w:r>
    </w:p>
    <w:p w14:paraId="4C108C92" w14:textId="77777777" w:rsidR="00000000" w:rsidRDefault="00000000">
      <w:pPr>
        <w:spacing w:before="50" w:after="50" w:line="360" w:lineRule="auto"/>
        <w:ind w:firstLineChars="200" w:firstLine="480"/>
        <w:rPr>
          <w:bCs/>
          <w:sz w:val="24"/>
          <w:szCs w:val="24"/>
        </w:rPr>
      </w:pPr>
      <w:r>
        <w:rPr>
          <w:bCs/>
          <w:sz w:val="24"/>
          <w:szCs w:val="24"/>
        </w:rPr>
        <w:t>如公司在承诺期间内实施现金分红，且云科通需向公司补偿股份，云科通应将需补偿股份数量对应的分红款返还给公司，返还的计算公式为：返还金额</w:t>
      </w:r>
      <w:r>
        <w:rPr>
          <w:bCs/>
          <w:sz w:val="24"/>
          <w:szCs w:val="24"/>
        </w:rPr>
        <w:t>=</w:t>
      </w:r>
      <w:r>
        <w:rPr>
          <w:bCs/>
          <w:sz w:val="24"/>
          <w:szCs w:val="24"/>
        </w:rPr>
        <w:t>截至补偿前每股已获得的现金分红收益</w:t>
      </w:r>
      <w:r>
        <w:rPr>
          <w:bCs/>
          <w:sz w:val="24"/>
          <w:szCs w:val="24"/>
        </w:rPr>
        <w:t>×</w:t>
      </w:r>
      <w:r>
        <w:rPr>
          <w:bCs/>
          <w:sz w:val="24"/>
          <w:szCs w:val="24"/>
        </w:rPr>
        <w:t>当年应补偿股份数量。返还金额不作为已补偿金额，不计入应补偿金额的计算公式。云科通应于收到公司发出的关于返还现金分红的书面通知后的</w:t>
      </w:r>
      <w:r>
        <w:rPr>
          <w:bCs/>
          <w:sz w:val="24"/>
          <w:szCs w:val="24"/>
        </w:rPr>
        <w:t>30</w:t>
      </w:r>
      <w:r>
        <w:rPr>
          <w:bCs/>
          <w:sz w:val="24"/>
          <w:szCs w:val="24"/>
        </w:rPr>
        <w:t>个工作日内返还至公司。</w:t>
      </w:r>
      <w:bookmarkEnd w:id="5"/>
    </w:p>
    <w:p w14:paraId="31EDAC15" w14:textId="77777777" w:rsidR="00000000" w:rsidRDefault="00000000">
      <w:pPr>
        <w:spacing w:before="50" w:after="50" w:line="360" w:lineRule="auto"/>
        <w:ind w:firstLineChars="200" w:firstLine="480"/>
        <w:rPr>
          <w:bCs/>
          <w:sz w:val="24"/>
          <w:szCs w:val="24"/>
        </w:rPr>
      </w:pPr>
      <w:r>
        <w:rPr>
          <w:bCs/>
          <w:sz w:val="24"/>
          <w:szCs w:val="24"/>
        </w:rPr>
        <w:t>E</w:t>
      </w:r>
      <w:r>
        <w:rPr>
          <w:rFonts w:hint="eastAsia"/>
          <w:bCs/>
          <w:sz w:val="24"/>
          <w:szCs w:val="24"/>
        </w:rPr>
        <w:t>．</w:t>
      </w:r>
      <w:r>
        <w:rPr>
          <w:bCs/>
          <w:sz w:val="24"/>
          <w:szCs w:val="24"/>
        </w:rPr>
        <w:t>减值测试</w:t>
      </w:r>
    </w:p>
    <w:p w14:paraId="05EF82D1" w14:textId="77777777" w:rsidR="00000000" w:rsidRDefault="00000000">
      <w:pPr>
        <w:spacing w:before="50" w:after="50" w:line="360" w:lineRule="auto"/>
        <w:ind w:firstLineChars="200" w:firstLine="480"/>
        <w:rPr>
          <w:bCs/>
          <w:sz w:val="24"/>
          <w:szCs w:val="24"/>
        </w:rPr>
      </w:pPr>
      <w:r>
        <w:rPr>
          <w:bCs/>
          <w:sz w:val="24"/>
          <w:szCs w:val="24"/>
        </w:rPr>
        <w:t>公司与交易对方协商一致同意，承诺期间届满时，公司应对标的资产进行减值测试，并由公司聘请的具有专业资质的会计师事务所在业绩承诺期末专项审计报告出具后</w:t>
      </w:r>
      <w:r>
        <w:rPr>
          <w:bCs/>
          <w:sz w:val="24"/>
          <w:szCs w:val="24"/>
        </w:rPr>
        <w:t>30</w:t>
      </w:r>
      <w:r>
        <w:rPr>
          <w:bCs/>
          <w:sz w:val="24"/>
          <w:szCs w:val="24"/>
        </w:rPr>
        <w:t>个工作日内出具减值测试审核报告，并以该会计师事务所出具的减值测试审核报告作为资产减值额的确定依据。如果</w:t>
      </w:r>
      <w:r>
        <w:rPr>
          <w:bCs/>
          <w:sz w:val="24"/>
          <w:szCs w:val="24"/>
        </w:rPr>
        <w:t>2025</w:t>
      </w:r>
      <w:r>
        <w:rPr>
          <w:bCs/>
          <w:sz w:val="24"/>
          <w:szCs w:val="24"/>
        </w:rPr>
        <w:t>年度期末标的资产减值额大于</w:t>
      </w:r>
      <w:r>
        <w:rPr>
          <w:bCs/>
          <w:sz w:val="24"/>
          <w:szCs w:val="24"/>
        </w:rPr>
        <w:t>2023</w:t>
      </w:r>
      <w:r>
        <w:rPr>
          <w:bCs/>
          <w:sz w:val="24"/>
          <w:szCs w:val="24"/>
        </w:rPr>
        <w:t>年至</w:t>
      </w:r>
      <w:r>
        <w:rPr>
          <w:bCs/>
          <w:sz w:val="24"/>
          <w:szCs w:val="24"/>
        </w:rPr>
        <w:t>2025</w:t>
      </w:r>
      <w:r>
        <w:rPr>
          <w:bCs/>
          <w:sz w:val="24"/>
          <w:szCs w:val="24"/>
        </w:rPr>
        <w:t>年业绩承诺方累计向公司支付的业绩补偿金额，则业绩承诺方应向公司就标的资产减值的部分另行进行补偿。交易对方具体补偿方式及计算公式如下：</w:t>
      </w:r>
    </w:p>
    <w:p w14:paraId="507A2F97" w14:textId="77777777" w:rsidR="00000000" w:rsidRDefault="00000000">
      <w:pPr>
        <w:spacing w:before="50" w:after="50" w:line="360" w:lineRule="auto"/>
        <w:ind w:firstLineChars="200" w:firstLine="480"/>
        <w:rPr>
          <w:bCs/>
          <w:sz w:val="24"/>
          <w:szCs w:val="24"/>
        </w:rPr>
      </w:pPr>
      <w:r>
        <w:rPr>
          <w:bCs/>
          <w:sz w:val="24"/>
          <w:szCs w:val="24"/>
        </w:rPr>
        <w:t>a.</w:t>
      </w:r>
      <w:r>
        <w:rPr>
          <w:bCs/>
          <w:sz w:val="24"/>
          <w:szCs w:val="24"/>
        </w:rPr>
        <w:t>核技术公司</w:t>
      </w:r>
    </w:p>
    <w:p w14:paraId="7A809F60" w14:textId="77777777" w:rsidR="00000000" w:rsidRDefault="00000000">
      <w:pPr>
        <w:spacing w:before="50" w:after="50" w:line="360" w:lineRule="auto"/>
        <w:ind w:firstLineChars="200" w:firstLine="480"/>
        <w:rPr>
          <w:bCs/>
          <w:sz w:val="24"/>
          <w:szCs w:val="24"/>
        </w:rPr>
      </w:pPr>
      <w:r>
        <w:rPr>
          <w:bCs/>
          <w:sz w:val="24"/>
          <w:szCs w:val="24"/>
        </w:rPr>
        <w:lastRenderedPageBreak/>
        <w:t>如果核技术公司触发上述减值测试补偿义务，公司有权要求核技术公司优先以公司股份进行补偿，核技术公司持有的因本次交易而获得的股份不足以覆盖补偿金额的，不足部分采用现金补偿。</w:t>
      </w:r>
    </w:p>
    <w:p w14:paraId="336F18D1" w14:textId="77777777" w:rsidR="00000000" w:rsidRDefault="00000000">
      <w:pPr>
        <w:spacing w:before="50" w:after="50" w:line="360" w:lineRule="auto"/>
        <w:ind w:firstLineChars="200" w:firstLine="480"/>
        <w:rPr>
          <w:bCs/>
          <w:sz w:val="24"/>
          <w:szCs w:val="24"/>
        </w:rPr>
      </w:pPr>
      <w:r>
        <w:rPr>
          <w:bCs/>
          <w:sz w:val="24"/>
          <w:szCs w:val="24"/>
        </w:rPr>
        <w:t>补偿股份计算的公式为：补偿的股份数量</w:t>
      </w:r>
      <w:r>
        <w:rPr>
          <w:bCs/>
          <w:sz w:val="24"/>
          <w:szCs w:val="24"/>
        </w:rPr>
        <w:t>=</w:t>
      </w:r>
      <w:r>
        <w:rPr>
          <w:bCs/>
          <w:sz w:val="24"/>
          <w:szCs w:val="24"/>
        </w:rPr>
        <w:t>（标的公司</w:t>
      </w:r>
      <w:r>
        <w:rPr>
          <w:bCs/>
          <w:sz w:val="24"/>
          <w:szCs w:val="24"/>
        </w:rPr>
        <w:t>2025</w:t>
      </w:r>
      <w:r>
        <w:rPr>
          <w:bCs/>
          <w:sz w:val="24"/>
          <w:szCs w:val="24"/>
        </w:rPr>
        <w:t>年末减值金额</w:t>
      </w:r>
      <w:r>
        <w:rPr>
          <w:bCs/>
          <w:sz w:val="24"/>
          <w:szCs w:val="24"/>
        </w:rPr>
        <w:t>×</w:t>
      </w:r>
      <w:r>
        <w:rPr>
          <w:bCs/>
          <w:sz w:val="24"/>
          <w:szCs w:val="24"/>
        </w:rPr>
        <w:t>核技术公司拟转让的标的公司股权比例－核技术公司</w:t>
      </w:r>
      <w:r>
        <w:rPr>
          <w:bCs/>
          <w:sz w:val="24"/>
          <w:szCs w:val="24"/>
        </w:rPr>
        <w:t>2023</w:t>
      </w:r>
      <w:r>
        <w:rPr>
          <w:bCs/>
          <w:sz w:val="24"/>
          <w:szCs w:val="24"/>
        </w:rPr>
        <w:t>年至</w:t>
      </w:r>
      <w:r>
        <w:rPr>
          <w:bCs/>
          <w:sz w:val="24"/>
          <w:szCs w:val="24"/>
        </w:rPr>
        <w:t>2025</w:t>
      </w:r>
      <w:r>
        <w:rPr>
          <w:bCs/>
          <w:sz w:val="24"/>
          <w:szCs w:val="24"/>
        </w:rPr>
        <w:t>年累计补偿金额）</w:t>
      </w:r>
      <w:r>
        <w:rPr>
          <w:bCs/>
          <w:sz w:val="24"/>
          <w:szCs w:val="24"/>
        </w:rPr>
        <w:t>÷</w:t>
      </w:r>
      <w:r>
        <w:rPr>
          <w:bCs/>
          <w:sz w:val="24"/>
          <w:szCs w:val="24"/>
        </w:rPr>
        <w:t>本次发行股份购买资产股票发行价格。</w:t>
      </w:r>
    </w:p>
    <w:p w14:paraId="4817D5FA" w14:textId="77777777" w:rsidR="00000000" w:rsidRDefault="00000000">
      <w:pPr>
        <w:spacing w:before="50" w:after="50" w:line="360" w:lineRule="auto"/>
        <w:ind w:firstLineChars="200" w:firstLine="480"/>
        <w:rPr>
          <w:bCs/>
          <w:sz w:val="24"/>
          <w:szCs w:val="24"/>
        </w:rPr>
      </w:pPr>
      <w:r>
        <w:rPr>
          <w:bCs/>
          <w:sz w:val="24"/>
          <w:szCs w:val="24"/>
        </w:rPr>
        <w:t>公司在承诺期间内相应会计年度实施送股、转增或股票股利分配的，则补偿股份数量相应调整。公司在承诺期间内相应会计年度实施现金股利分配的，则核技术公司补偿股份的同时应就所补偿股份对应取得的现金股利予以现金返还。</w:t>
      </w:r>
    </w:p>
    <w:p w14:paraId="5578BFAC" w14:textId="77777777" w:rsidR="00000000" w:rsidRDefault="00000000">
      <w:pPr>
        <w:spacing w:before="50" w:after="50" w:line="360" w:lineRule="auto"/>
        <w:ind w:firstLineChars="200" w:firstLine="480"/>
        <w:rPr>
          <w:bCs/>
          <w:sz w:val="24"/>
          <w:szCs w:val="24"/>
        </w:rPr>
      </w:pPr>
      <w:r>
        <w:rPr>
          <w:bCs/>
          <w:sz w:val="24"/>
          <w:szCs w:val="24"/>
        </w:rPr>
        <w:t>在任何情况下，核技术公司对标的资产减值额和业绩承诺进行补偿的金额总额不超过本次交易的交易对价。</w:t>
      </w:r>
    </w:p>
    <w:p w14:paraId="145DF9E3" w14:textId="77777777" w:rsidR="00000000" w:rsidRDefault="00000000">
      <w:pPr>
        <w:spacing w:before="50" w:after="50" w:line="360" w:lineRule="auto"/>
        <w:ind w:firstLineChars="200" w:firstLine="480"/>
        <w:rPr>
          <w:bCs/>
          <w:sz w:val="24"/>
          <w:szCs w:val="24"/>
        </w:rPr>
      </w:pPr>
      <w:r>
        <w:rPr>
          <w:rFonts w:hint="eastAsia"/>
          <w:bCs/>
          <w:sz w:val="24"/>
          <w:szCs w:val="24"/>
        </w:rPr>
        <w:t>b</w:t>
      </w:r>
      <w:r>
        <w:rPr>
          <w:bCs/>
          <w:sz w:val="24"/>
          <w:szCs w:val="24"/>
        </w:rPr>
        <w:t>.</w:t>
      </w:r>
      <w:r>
        <w:rPr>
          <w:bCs/>
          <w:sz w:val="24"/>
          <w:szCs w:val="24"/>
        </w:rPr>
        <w:t>云科通</w:t>
      </w:r>
    </w:p>
    <w:p w14:paraId="7448291E" w14:textId="77777777" w:rsidR="00000000" w:rsidRDefault="00000000">
      <w:pPr>
        <w:spacing w:before="50" w:after="50" w:line="360" w:lineRule="auto"/>
        <w:ind w:firstLineChars="200" w:firstLine="480"/>
        <w:rPr>
          <w:bCs/>
          <w:sz w:val="24"/>
          <w:szCs w:val="24"/>
        </w:rPr>
      </w:pPr>
      <w:r>
        <w:rPr>
          <w:bCs/>
          <w:sz w:val="24"/>
          <w:szCs w:val="24"/>
        </w:rPr>
        <w:t>如果云科通触发上述减值测试补偿义务，公司有权要求云科通优先以公司股份进行补偿，云科通持有的因本次交易而获得的股份不足以覆盖补偿金额的，不足部分采用现金补偿。</w:t>
      </w:r>
    </w:p>
    <w:p w14:paraId="0F5E51D2" w14:textId="77777777" w:rsidR="00000000" w:rsidRDefault="00000000">
      <w:pPr>
        <w:spacing w:before="50" w:after="50" w:line="360" w:lineRule="auto"/>
        <w:ind w:firstLineChars="200" w:firstLine="480"/>
        <w:rPr>
          <w:bCs/>
          <w:sz w:val="24"/>
          <w:szCs w:val="24"/>
        </w:rPr>
      </w:pPr>
      <w:r>
        <w:rPr>
          <w:bCs/>
          <w:sz w:val="24"/>
          <w:szCs w:val="24"/>
        </w:rPr>
        <w:t>补偿股份计算的公式为：补偿的股份数量</w:t>
      </w:r>
      <w:r>
        <w:rPr>
          <w:bCs/>
          <w:sz w:val="24"/>
          <w:szCs w:val="24"/>
        </w:rPr>
        <w:t>=</w:t>
      </w:r>
      <w:r>
        <w:rPr>
          <w:bCs/>
          <w:sz w:val="24"/>
          <w:szCs w:val="24"/>
        </w:rPr>
        <w:t>（标的公司</w:t>
      </w:r>
      <w:r>
        <w:rPr>
          <w:bCs/>
          <w:sz w:val="24"/>
          <w:szCs w:val="24"/>
        </w:rPr>
        <w:t>2025</w:t>
      </w:r>
      <w:r>
        <w:rPr>
          <w:bCs/>
          <w:sz w:val="24"/>
          <w:szCs w:val="24"/>
        </w:rPr>
        <w:t>年末减值金额</w:t>
      </w:r>
      <w:r>
        <w:rPr>
          <w:bCs/>
          <w:sz w:val="24"/>
          <w:szCs w:val="24"/>
        </w:rPr>
        <w:t>×</w:t>
      </w:r>
      <w:r>
        <w:rPr>
          <w:bCs/>
          <w:sz w:val="24"/>
          <w:szCs w:val="24"/>
        </w:rPr>
        <w:t>云科通拟转让的标的公司股权比例－云科通</w:t>
      </w:r>
      <w:r>
        <w:rPr>
          <w:bCs/>
          <w:sz w:val="24"/>
          <w:szCs w:val="24"/>
        </w:rPr>
        <w:t>2023</w:t>
      </w:r>
      <w:r>
        <w:rPr>
          <w:bCs/>
          <w:sz w:val="24"/>
          <w:szCs w:val="24"/>
        </w:rPr>
        <w:t>年至</w:t>
      </w:r>
      <w:r>
        <w:rPr>
          <w:bCs/>
          <w:sz w:val="24"/>
          <w:szCs w:val="24"/>
        </w:rPr>
        <w:t>2025</w:t>
      </w:r>
      <w:r>
        <w:rPr>
          <w:bCs/>
          <w:sz w:val="24"/>
          <w:szCs w:val="24"/>
        </w:rPr>
        <w:t>年累计补偿金额）</w:t>
      </w:r>
      <w:r>
        <w:rPr>
          <w:bCs/>
          <w:sz w:val="24"/>
          <w:szCs w:val="24"/>
        </w:rPr>
        <w:t>÷</w:t>
      </w:r>
      <w:r>
        <w:rPr>
          <w:bCs/>
          <w:sz w:val="24"/>
          <w:szCs w:val="24"/>
        </w:rPr>
        <w:t>本次发行股份购买资产股票发行价格</w:t>
      </w:r>
      <w:r>
        <w:rPr>
          <w:bCs/>
          <w:sz w:val="24"/>
          <w:szCs w:val="24"/>
        </w:rPr>
        <w:t xml:space="preserve"> </w:t>
      </w:r>
      <w:r>
        <w:rPr>
          <w:bCs/>
          <w:sz w:val="24"/>
          <w:szCs w:val="24"/>
        </w:rPr>
        <w:t>。</w:t>
      </w:r>
    </w:p>
    <w:p w14:paraId="3075AAC0" w14:textId="77777777" w:rsidR="00000000" w:rsidRDefault="00000000">
      <w:pPr>
        <w:spacing w:before="50" w:after="50" w:line="360" w:lineRule="auto"/>
        <w:ind w:firstLineChars="200" w:firstLine="480"/>
        <w:rPr>
          <w:bCs/>
          <w:sz w:val="24"/>
          <w:szCs w:val="24"/>
        </w:rPr>
      </w:pPr>
      <w:r>
        <w:rPr>
          <w:bCs/>
          <w:sz w:val="24"/>
          <w:szCs w:val="24"/>
        </w:rPr>
        <w:t>公司在承诺期间内相应会计年度实施送股、转增或股票股利分配的，则补偿股份数量相应调整。公司在承诺期间内相应会计年度实施现金股利分配的，则云科通补偿股份的同时应就所补偿股份对应取得的现金股利予以现金返还。</w:t>
      </w:r>
    </w:p>
    <w:p w14:paraId="2D2449D7" w14:textId="77777777" w:rsidR="00000000" w:rsidRDefault="00000000">
      <w:pPr>
        <w:spacing w:before="50" w:after="50" w:line="360" w:lineRule="auto"/>
        <w:ind w:firstLineChars="200" w:firstLine="480"/>
        <w:rPr>
          <w:bCs/>
          <w:sz w:val="24"/>
          <w:szCs w:val="24"/>
        </w:rPr>
      </w:pPr>
      <w:r>
        <w:rPr>
          <w:bCs/>
          <w:sz w:val="24"/>
          <w:szCs w:val="24"/>
        </w:rPr>
        <w:t>在任何情况下，云科通对标的资产减值额和业绩承诺进行补偿的金额总额不超过本次交易的交易对价。</w:t>
      </w:r>
    </w:p>
    <w:p w14:paraId="64317886" w14:textId="77777777" w:rsidR="00000000" w:rsidRDefault="00000000">
      <w:pPr>
        <w:spacing w:before="50" w:after="50" w:line="360" w:lineRule="auto"/>
        <w:ind w:firstLineChars="200" w:firstLine="480"/>
        <w:rPr>
          <w:bCs/>
          <w:sz w:val="24"/>
          <w:szCs w:val="24"/>
        </w:rPr>
      </w:pPr>
      <w:r>
        <w:rPr>
          <w:bCs/>
          <w:sz w:val="24"/>
          <w:szCs w:val="24"/>
        </w:rPr>
        <w:t>F</w:t>
      </w:r>
      <w:r>
        <w:rPr>
          <w:rFonts w:hint="eastAsia"/>
          <w:bCs/>
          <w:sz w:val="24"/>
          <w:szCs w:val="24"/>
        </w:rPr>
        <w:t>．</w:t>
      </w:r>
      <w:r>
        <w:rPr>
          <w:bCs/>
          <w:sz w:val="24"/>
          <w:szCs w:val="24"/>
        </w:rPr>
        <w:t>补偿实施</w:t>
      </w:r>
    </w:p>
    <w:p w14:paraId="58E98817" w14:textId="77777777" w:rsidR="00000000" w:rsidRDefault="00000000">
      <w:pPr>
        <w:spacing w:before="50" w:after="50" w:line="360" w:lineRule="auto"/>
        <w:ind w:firstLineChars="200" w:firstLine="480"/>
        <w:rPr>
          <w:bCs/>
          <w:sz w:val="24"/>
          <w:szCs w:val="24"/>
        </w:rPr>
      </w:pPr>
      <w:r>
        <w:rPr>
          <w:bCs/>
          <w:sz w:val="24"/>
          <w:szCs w:val="24"/>
        </w:rPr>
        <w:t>若业绩承诺方按照《发行股份及支付现金购买资产协议（修订版）》（以下简称</w:t>
      </w:r>
      <w:r>
        <w:rPr>
          <w:bCs/>
          <w:sz w:val="24"/>
          <w:szCs w:val="24"/>
        </w:rPr>
        <w:t>“</w:t>
      </w:r>
      <w:r>
        <w:rPr>
          <w:bCs/>
          <w:sz w:val="24"/>
          <w:szCs w:val="24"/>
        </w:rPr>
        <w:t>《重组协议》</w:t>
      </w:r>
      <w:r>
        <w:rPr>
          <w:bCs/>
          <w:sz w:val="24"/>
          <w:szCs w:val="24"/>
        </w:rPr>
        <w:t>”</w:t>
      </w:r>
      <w:r>
        <w:rPr>
          <w:bCs/>
          <w:sz w:val="24"/>
          <w:szCs w:val="24"/>
        </w:rPr>
        <w:t>）约定应履行补偿义务的，公司应在专项审计报告出具之日或者减值测试报告出具之日起的</w:t>
      </w:r>
      <w:r>
        <w:rPr>
          <w:bCs/>
          <w:sz w:val="24"/>
          <w:szCs w:val="24"/>
        </w:rPr>
        <w:t>20</w:t>
      </w:r>
      <w:r>
        <w:rPr>
          <w:bCs/>
          <w:sz w:val="24"/>
          <w:szCs w:val="24"/>
        </w:rPr>
        <w:t>个工作日内，按照《重组协议》约定计算应补</w:t>
      </w:r>
      <w:r>
        <w:rPr>
          <w:bCs/>
          <w:sz w:val="24"/>
          <w:szCs w:val="24"/>
        </w:rPr>
        <w:lastRenderedPageBreak/>
        <w:t>偿股份数量和现金金额，并按程序召开董事会和股东大会审议。公司应于股东大会决议公告后</w:t>
      </w:r>
      <w:r>
        <w:rPr>
          <w:bCs/>
          <w:sz w:val="24"/>
          <w:szCs w:val="24"/>
        </w:rPr>
        <w:t>5</w:t>
      </w:r>
      <w:r>
        <w:rPr>
          <w:bCs/>
          <w:sz w:val="24"/>
          <w:szCs w:val="24"/>
        </w:rPr>
        <w:t>个工作日内将应补偿的股份数量和现金金额书面通知业绩承诺方。</w:t>
      </w:r>
    </w:p>
    <w:p w14:paraId="1216CB47" w14:textId="77777777" w:rsidR="00000000" w:rsidRDefault="00000000">
      <w:pPr>
        <w:spacing w:before="50" w:after="50" w:line="360" w:lineRule="auto"/>
        <w:ind w:firstLineChars="200" w:firstLine="480"/>
        <w:rPr>
          <w:bCs/>
          <w:sz w:val="24"/>
          <w:szCs w:val="24"/>
        </w:rPr>
      </w:pPr>
      <w:r>
        <w:rPr>
          <w:bCs/>
          <w:sz w:val="24"/>
          <w:szCs w:val="24"/>
        </w:rPr>
        <w:t>就业绩承诺方应补偿的股份，公司首先采用股份回购注销方案，如股份回购注销事宜因未获得股东大会通过等原因而无法实施的，业绩承诺方应不可撤销地承诺将按照公司要求无条件将应补偿的股份全部免费赠送给公司的其他股东，具体如下：</w:t>
      </w:r>
    </w:p>
    <w:p w14:paraId="0F810C02" w14:textId="77777777" w:rsidR="00000000" w:rsidRDefault="00000000">
      <w:pPr>
        <w:spacing w:before="50" w:after="50" w:line="360" w:lineRule="auto"/>
        <w:ind w:firstLineChars="200" w:firstLine="480"/>
        <w:rPr>
          <w:bCs/>
          <w:sz w:val="24"/>
          <w:szCs w:val="24"/>
        </w:rPr>
      </w:pPr>
      <w:r>
        <w:rPr>
          <w:bCs/>
          <w:sz w:val="24"/>
          <w:szCs w:val="24"/>
        </w:rPr>
        <w:t>a.</w:t>
      </w:r>
      <w:r>
        <w:rPr>
          <w:bCs/>
          <w:sz w:val="24"/>
          <w:szCs w:val="24"/>
        </w:rPr>
        <w:t>若公司股东大会审议通过股份回购注销方案，即同意公司以总价</w:t>
      </w:r>
      <w:r>
        <w:rPr>
          <w:bCs/>
          <w:sz w:val="24"/>
          <w:szCs w:val="24"/>
        </w:rPr>
        <w:t>1</w:t>
      </w:r>
      <w:r>
        <w:rPr>
          <w:bCs/>
          <w:sz w:val="24"/>
          <w:szCs w:val="24"/>
        </w:rPr>
        <w:t>元的价格回购并注销业绩承诺方应补偿的股份。业绩承诺方应在公司发出书面通知的</w:t>
      </w:r>
      <w:r>
        <w:rPr>
          <w:bCs/>
          <w:sz w:val="24"/>
          <w:szCs w:val="24"/>
        </w:rPr>
        <w:t>30</w:t>
      </w:r>
      <w:r>
        <w:rPr>
          <w:bCs/>
          <w:sz w:val="24"/>
          <w:szCs w:val="24"/>
        </w:rPr>
        <w:t>日内，按照通知内容将当年应补偿的股份过户至公司董事会设立的专门账户。过户产生的相关费用由股份受让方承担。</w:t>
      </w:r>
    </w:p>
    <w:p w14:paraId="64B65874" w14:textId="77777777" w:rsidR="00000000" w:rsidRDefault="00000000">
      <w:pPr>
        <w:spacing w:before="50" w:after="50" w:line="360" w:lineRule="auto"/>
        <w:ind w:firstLineChars="200" w:firstLine="480"/>
        <w:rPr>
          <w:bCs/>
          <w:sz w:val="24"/>
          <w:szCs w:val="24"/>
        </w:rPr>
      </w:pPr>
      <w:r>
        <w:rPr>
          <w:rFonts w:hint="eastAsia"/>
          <w:bCs/>
          <w:sz w:val="24"/>
          <w:szCs w:val="24"/>
        </w:rPr>
        <w:t>b</w:t>
      </w:r>
      <w:r>
        <w:rPr>
          <w:bCs/>
          <w:sz w:val="24"/>
          <w:szCs w:val="24"/>
        </w:rPr>
        <w:t>.</w:t>
      </w:r>
      <w:r>
        <w:rPr>
          <w:bCs/>
          <w:sz w:val="24"/>
          <w:szCs w:val="24"/>
        </w:rPr>
        <w:t>若上述股份回购注销事宜因未获得公司股东大会通过等原因而无法实施，公司应在股东大会决议公告后</w:t>
      </w:r>
      <w:r>
        <w:rPr>
          <w:bCs/>
          <w:sz w:val="24"/>
          <w:szCs w:val="24"/>
        </w:rPr>
        <w:t>5</w:t>
      </w:r>
      <w:r>
        <w:rPr>
          <w:bCs/>
          <w:sz w:val="24"/>
          <w:szCs w:val="24"/>
        </w:rPr>
        <w:t>个工作日内书面通知业绩承诺方无条件实施股份免费赠送方案。</w:t>
      </w:r>
    </w:p>
    <w:p w14:paraId="426C4F07" w14:textId="77777777" w:rsidR="00000000" w:rsidRDefault="00000000">
      <w:pPr>
        <w:spacing w:before="50" w:after="50" w:line="360" w:lineRule="auto"/>
        <w:ind w:firstLineChars="200" w:firstLine="480"/>
        <w:rPr>
          <w:bCs/>
          <w:sz w:val="24"/>
          <w:szCs w:val="24"/>
        </w:rPr>
      </w:pPr>
      <w:r>
        <w:rPr>
          <w:bCs/>
          <w:sz w:val="24"/>
          <w:szCs w:val="24"/>
        </w:rPr>
        <w:t>公司召开前述股东大会对应的股权登记日作为赠与股权登记日，并由业绩承诺方将等同于前述应回购数量的股份赠送给该赠与股权登记日登记在册的股东，在册股东按照其持有的股份数量（其中，核技术公司和云科通持有的股份数量为按其截至赠与股权登记日持有的股份数额扣除其基于本次重组获得的全部股份数量（含因公司送红股、转增股本等原因变动增加的部分，下同）之差额）占截至赠与股权登记日公司扣除核技术公司和云科通在本次重组中获得的全部股份数量后的总股本的比例享有获赠股份。</w:t>
      </w:r>
    </w:p>
    <w:p w14:paraId="5020A72B" w14:textId="77777777" w:rsidR="00000000" w:rsidRDefault="00000000">
      <w:pPr>
        <w:spacing w:before="50" w:after="50" w:line="360" w:lineRule="auto"/>
        <w:ind w:firstLineChars="200" w:firstLine="480"/>
        <w:rPr>
          <w:bCs/>
          <w:sz w:val="24"/>
          <w:szCs w:val="24"/>
        </w:rPr>
      </w:pPr>
      <w:r>
        <w:rPr>
          <w:bCs/>
          <w:sz w:val="24"/>
          <w:szCs w:val="24"/>
        </w:rPr>
        <w:t>业绩承诺方应在接到公司送达的股份回购数量书面通知后</w:t>
      </w:r>
      <w:r>
        <w:rPr>
          <w:bCs/>
          <w:sz w:val="24"/>
          <w:szCs w:val="24"/>
        </w:rPr>
        <w:t>30</w:t>
      </w:r>
      <w:r>
        <w:rPr>
          <w:bCs/>
          <w:sz w:val="24"/>
          <w:szCs w:val="24"/>
        </w:rPr>
        <w:t>个工作日内取得所需批准（包括但不限于内部审批程序及政府主管部门的核准）。该等股份赠与以不违反国有资产监督管理部门的相关规定为实施条件，若前述赠与因此不能实施，由业绩承诺方采取其它可行方式对公司进行等额补偿。前述免费赠送产生的相关税费由相关方依法承担。</w:t>
      </w:r>
    </w:p>
    <w:p w14:paraId="0FB9FE7B" w14:textId="77777777" w:rsidR="00000000" w:rsidRDefault="00000000">
      <w:pPr>
        <w:spacing w:before="50" w:after="50" w:line="360" w:lineRule="auto"/>
        <w:ind w:firstLineChars="200" w:firstLine="480"/>
        <w:rPr>
          <w:bCs/>
          <w:sz w:val="24"/>
          <w:szCs w:val="24"/>
        </w:rPr>
      </w:pPr>
      <w:r>
        <w:rPr>
          <w:bCs/>
          <w:sz w:val="24"/>
          <w:szCs w:val="24"/>
        </w:rPr>
        <w:t>就业绩承诺方应补偿的现金，依照协议约定，公司优先从当期现金交易对价中扣除。若当期现金交易对价不足以覆盖业绩承诺方应补偿的现金，则从下期现</w:t>
      </w:r>
      <w:r>
        <w:rPr>
          <w:bCs/>
          <w:sz w:val="24"/>
          <w:szCs w:val="24"/>
        </w:rPr>
        <w:lastRenderedPageBreak/>
        <w:t>金交易对价中扣除，以此类推。若尚未支付的全部现金交易对价不足以覆盖业绩承诺方应补偿的现金，则业绩承诺方应在公司发出书面通知后</w:t>
      </w:r>
      <w:r>
        <w:rPr>
          <w:bCs/>
          <w:sz w:val="24"/>
          <w:szCs w:val="24"/>
        </w:rPr>
        <w:t>30</w:t>
      </w:r>
      <w:r>
        <w:rPr>
          <w:bCs/>
          <w:sz w:val="24"/>
          <w:szCs w:val="24"/>
        </w:rPr>
        <w:t>日内以现金向公司一次性支付补偿。</w:t>
      </w:r>
    </w:p>
    <w:p w14:paraId="6D6470B3"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41446FD3"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7982C199" w14:textId="77777777" w:rsidR="00000000" w:rsidRDefault="00000000">
      <w:pPr>
        <w:spacing w:before="50" w:after="50" w:line="360" w:lineRule="auto"/>
        <w:ind w:firstLineChars="200" w:firstLine="480"/>
        <w:rPr>
          <w:bCs/>
          <w:sz w:val="24"/>
          <w:szCs w:val="24"/>
        </w:rPr>
      </w:pPr>
      <w:r>
        <w:rPr>
          <w:bCs/>
          <w:sz w:val="24"/>
          <w:szCs w:val="24"/>
        </w:rPr>
        <w:t>表决结果：通过。</w:t>
      </w:r>
    </w:p>
    <w:p w14:paraId="284A0385" w14:textId="77777777" w:rsidR="00000000" w:rsidRDefault="00000000">
      <w:pPr>
        <w:spacing w:before="50" w:after="50" w:line="360" w:lineRule="auto"/>
        <w:ind w:firstLineChars="200" w:firstLine="482"/>
        <w:rPr>
          <w:b/>
          <w:bCs/>
          <w:sz w:val="24"/>
          <w:szCs w:val="24"/>
        </w:rPr>
      </w:pPr>
      <w:r>
        <w:rPr>
          <w:rFonts w:ascii="宋体" w:hAnsi="宋体" w:hint="eastAsia"/>
          <w:b/>
          <w:bCs/>
          <w:sz w:val="24"/>
          <w:szCs w:val="24"/>
        </w:rPr>
        <w:t>⑦</w:t>
      </w:r>
      <w:r>
        <w:rPr>
          <w:b/>
          <w:bCs/>
          <w:sz w:val="24"/>
          <w:szCs w:val="24"/>
        </w:rPr>
        <w:t>过渡期损益</w:t>
      </w:r>
      <w:r>
        <w:rPr>
          <w:rFonts w:hint="eastAsia"/>
          <w:b/>
          <w:bCs/>
          <w:sz w:val="24"/>
          <w:szCs w:val="24"/>
        </w:rPr>
        <w:t>安排</w:t>
      </w:r>
    </w:p>
    <w:p w14:paraId="3A75BF63" w14:textId="77777777" w:rsidR="00000000" w:rsidRDefault="00000000">
      <w:pPr>
        <w:spacing w:before="50" w:after="50" w:line="360" w:lineRule="auto"/>
        <w:ind w:firstLineChars="200" w:firstLine="480"/>
        <w:rPr>
          <w:bCs/>
          <w:sz w:val="24"/>
          <w:szCs w:val="24"/>
        </w:rPr>
      </w:pPr>
      <w:r>
        <w:rPr>
          <w:bCs/>
          <w:sz w:val="24"/>
          <w:szCs w:val="24"/>
        </w:rPr>
        <w:t>自评估基准日起至交割日为过渡期。</w:t>
      </w:r>
      <w:r>
        <w:rPr>
          <w:rFonts w:hint="eastAsia"/>
          <w:bCs/>
          <w:sz w:val="24"/>
          <w:szCs w:val="24"/>
        </w:rPr>
        <w:t>标的资产过渡期间的损益，由上市公司指定的具有专业资质的审计机构在交割日起的</w:t>
      </w:r>
      <w:r>
        <w:rPr>
          <w:rFonts w:hint="eastAsia"/>
          <w:bCs/>
          <w:sz w:val="24"/>
          <w:szCs w:val="24"/>
        </w:rPr>
        <w:t>30</w:t>
      </w:r>
      <w:r>
        <w:rPr>
          <w:rFonts w:hint="eastAsia"/>
          <w:bCs/>
          <w:sz w:val="24"/>
          <w:szCs w:val="24"/>
        </w:rPr>
        <w:t>个工作日内进行审计，并由该审计机构出具专项审计报告予以确认</w:t>
      </w:r>
      <w:r>
        <w:rPr>
          <w:rFonts w:hint="eastAsia"/>
          <w:color w:val="000000"/>
          <w:sz w:val="24"/>
        </w:rPr>
        <w:t>，</w:t>
      </w:r>
      <w:bookmarkStart w:id="6" w:name="_Hlk128642014"/>
      <w:r>
        <w:rPr>
          <w:kern w:val="0"/>
          <w:sz w:val="24"/>
          <w:szCs w:val="24"/>
        </w:rPr>
        <w:t>如交割日为当月</w:t>
      </w:r>
      <w:r>
        <w:rPr>
          <w:kern w:val="0"/>
          <w:sz w:val="24"/>
          <w:szCs w:val="24"/>
        </w:rPr>
        <w:t>15</w:t>
      </w:r>
      <w:r>
        <w:rPr>
          <w:kern w:val="0"/>
          <w:sz w:val="24"/>
          <w:szCs w:val="24"/>
        </w:rPr>
        <w:t>日（含</w:t>
      </w:r>
      <w:r>
        <w:rPr>
          <w:kern w:val="0"/>
          <w:sz w:val="24"/>
          <w:szCs w:val="24"/>
        </w:rPr>
        <w:t>15</w:t>
      </w:r>
      <w:r>
        <w:rPr>
          <w:kern w:val="0"/>
          <w:sz w:val="24"/>
          <w:szCs w:val="24"/>
        </w:rPr>
        <w:t>日）之前，则上述审计的基准日为上月月末；如交割日为当月</w:t>
      </w:r>
      <w:r>
        <w:rPr>
          <w:kern w:val="0"/>
          <w:sz w:val="24"/>
          <w:szCs w:val="24"/>
        </w:rPr>
        <w:t>15</w:t>
      </w:r>
      <w:r>
        <w:rPr>
          <w:kern w:val="0"/>
          <w:sz w:val="24"/>
          <w:szCs w:val="24"/>
        </w:rPr>
        <w:t>日之后，则上述审计的基准日为当月月末</w:t>
      </w:r>
      <w:bookmarkEnd w:id="6"/>
      <w:r>
        <w:rPr>
          <w:rFonts w:hint="eastAsia"/>
          <w:bCs/>
          <w:sz w:val="24"/>
          <w:szCs w:val="24"/>
        </w:rPr>
        <w:t>。若标的资产发生亏损，则交易对方应在上述审计报告出具之日起</w:t>
      </w:r>
      <w:r>
        <w:rPr>
          <w:rFonts w:hint="eastAsia"/>
          <w:bCs/>
          <w:sz w:val="24"/>
          <w:szCs w:val="24"/>
        </w:rPr>
        <w:t>7</w:t>
      </w:r>
      <w:r>
        <w:rPr>
          <w:rFonts w:hint="eastAsia"/>
          <w:bCs/>
          <w:sz w:val="24"/>
          <w:szCs w:val="24"/>
        </w:rPr>
        <w:t>个工作日内以现金方式，以对标的公司所持股的比例，向标的公司全额补足。若标的资产发生盈余，盈余部分由上市公司按比例享有。</w:t>
      </w:r>
    </w:p>
    <w:p w14:paraId="523C0A09"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6459E9A3"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68650168" w14:textId="77777777" w:rsidR="00000000" w:rsidRDefault="00000000">
      <w:pPr>
        <w:spacing w:before="50" w:after="50" w:line="360" w:lineRule="auto"/>
        <w:ind w:firstLineChars="200" w:firstLine="480"/>
        <w:rPr>
          <w:bCs/>
          <w:sz w:val="24"/>
          <w:szCs w:val="24"/>
        </w:rPr>
      </w:pPr>
      <w:r>
        <w:rPr>
          <w:bCs/>
          <w:sz w:val="24"/>
          <w:szCs w:val="24"/>
        </w:rPr>
        <w:t>表决结果：通过。</w:t>
      </w:r>
    </w:p>
    <w:p w14:paraId="05F3E1E7" w14:textId="77777777" w:rsidR="00000000" w:rsidRDefault="00000000">
      <w:pPr>
        <w:spacing w:before="50" w:after="50" w:line="360" w:lineRule="auto"/>
        <w:ind w:firstLineChars="200" w:firstLine="482"/>
        <w:rPr>
          <w:b/>
          <w:bCs/>
          <w:sz w:val="24"/>
          <w:szCs w:val="24"/>
        </w:rPr>
      </w:pPr>
      <w:r>
        <w:rPr>
          <w:rFonts w:ascii="宋体" w:hAnsi="宋体" w:hint="eastAsia"/>
          <w:b/>
          <w:bCs/>
          <w:color w:val="000000"/>
          <w:sz w:val="24"/>
        </w:rPr>
        <w:t>⑧</w:t>
      </w:r>
      <w:r>
        <w:rPr>
          <w:b/>
          <w:bCs/>
          <w:color w:val="000000"/>
          <w:sz w:val="24"/>
        </w:rPr>
        <w:t>关于滚存未分配利润的安排</w:t>
      </w:r>
    </w:p>
    <w:p w14:paraId="782E1CB4" w14:textId="77777777" w:rsidR="00000000" w:rsidRDefault="00000000">
      <w:pPr>
        <w:spacing w:before="50" w:after="50" w:line="360" w:lineRule="auto"/>
        <w:ind w:firstLineChars="200" w:firstLine="480"/>
        <w:rPr>
          <w:bCs/>
          <w:sz w:val="24"/>
          <w:szCs w:val="24"/>
        </w:rPr>
      </w:pPr>
      <w:r>
        <w:rPr>
          <w:bCs/>
          <w:sz w:val="24"/>
          <w:szCs w:val="24"/>
        </w:rPr>
        <w:t>公司于本次发行完成前的滚存未分配利润由本次发行完成后公司的新老股东按照发行后的股份比例享有。</w:t>
      </w:r>
    </w:p>
    <w:p w14:paraId="1C1011AA" w14:textId="77777777" w:rsidR="00000000" w:rsidRDefault="00000000">
      <w:pPr>
        <w:spacing w:before="50" w:after="50" w:line="360" w:lineRule="auto"/>
        <w:ind w:firstLineChars="200" w:firstLine="480"/>
        <w:rPr>
          <w:bCs/>
          <w:sz w:val="24"/>
          <w:szCs w:val="24"/>
        </w:rPr>
      </w:pPr>
      <w:r>
        <w:rPr>
          <w:bCs/>
          <w:sz w:val="24"/>
          <w:szCs w:val="24"/>
        </w:rPr>
        <w:t>自评估基准日起至交割日期间，标的公司不得向股东分配利润。交割日后，标的公司的滚存未分配利润由公司按持股比例享有。</w:t>
      </w:r>
    </w:p>
    <w:p w14:paraId="2F826C5E"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3984222C"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D1FCB87" w14:textId="77777777" w:rsidR="00000000" w:rsidRDefault="00000000">
      <w:pPr>
        <w:spacing w:before="50" w:after="50" w:line="360" w:lineRule="auto"/>
        <w:ind w:firstLineChars="200" w:firstLine="480"/>
        <w:rPr>
          <w:rFonts w:hint="eastAsia"/>
          <w:bCs/>
          <w:sz w:val="24"/>
          <w:szCs w:val="24"/>
        </w:rPr>
      </w:pPr>
      <w:r>
        <w:rPr>
          <w:bCs/>
          <w:sz w:val="24"/>
          <w:szCs w:val="24"/>
        </w:rPr>
        <w:lastRenderedPageBreak/>
        <w:t>表决结果：通过。</w:t>
      </w:r>
    </w:p>
    <w:p w14:paraId="67CFAFD7" w14:textId="77777777" w:rsidR="00000000" w:rsidRDefault="00000000">
      <w:pPr>
        <w:spacing w:before="50" w:after="50" w:line="360" w:lineRule="auto"/>
        <w:ind w:firstLineChars="200" w:firstLine="482"/>
        <w:rPr>
          <w:b/>
          <w:bCs/>
          <w:sz w:val="24"/>
          <w:szCs w:val="24"/>
        </w:rPr>
      </w:pPr>
      <w:r>
        <w:rPr>
          <w:rFonts w:ascii="宋体" w:hAnsi="宋体" w:hint="eastAsia"/>
          <w:b/>
          <w:bCs/>
          <w:color w:val="000000"/>
          <w:sz w:val="24"/>
        </w:rPr>
        <w:t>⑨</w:t>
      </w:r>
      <w:r>
        <w:rPr>
          <w:b/>
          <w:bCs/>
          <w:color w:val="000000"/>
          <w:sz w:val="24"/>
        </w:rPr>
        <w:t>现金支付安排</w:t>
      </w:r>
    </w:p>
    <w:p w14:paraId="2599B4FB" w14:textId="77777777" w:rsidR="00000000" w:rsidRDefault="00000000">
      <w:pPr>
        <w:spacing w:before="50" w:after="50" w:line="360" w:lineRule="auto"/>
        <w:ind w:firstLineChars="200" w:firstLine="480"/>
        <w:rPr>
          <w:bCs/>
          <w:sz w:val="24"/>
          <w:szCs w:val="24"/>
        </w:rPr>
      </w:pPr>
      <w:r>
        <w:rPr>
          <w:bCs/>
          <w:sz w:val="24"/>
          <w:szCs w:val="24"/>
        </w:rPr>
        <w:t>根据交易各方拟签署的</w:t>
      </w:r>
      <w:r>
        <w:rPr>
          <w:rFonts w:hint="eastAsia"/>
          <w:bCs/>
          <w:sz w:val="24"/>
          <w:szCs w:val="24"/>
        </w:rPr>
        <w:t>《重组协议》</w:t>
      </w:r>
      <w:r>
        <w:rPr>
          <w:bCs/>
          <w:sz w:val="24"/>
          <w:szCs w:val="24"/>
        </w:rPr>
        <w:t>，资产交割完成后</w:t>
      </w:r>
      <w:r>
        <w:rPr>
          <w:bCs/>
          <w:sz w:val="24"/>
          <w:szCs w:val="24"/>
        </w:rPr>
        <w:t>15</w:t>
      </w:r>
      <w:r>
        <w:rPr>
          <w:bCs/>
          <w:sz w:val="24"/>
          <w:szCs w:val="24"/>
        </w:rPr>
        <w:t>个工作日内，公司</w:t>
      </w:r>
      <w:r>
        <w:rPr>
          <w:rFonts w:hint="eastAsia"/>
          <w:bCs/>
          <w:sz w:val="24"/>
          <w:szCs w:val="24"/>
        </w:rPr>
        <w:t>分别</w:t>
      </w:r>
      <w:r>
        <w:rPr>
          <w:bCs/>
          <w:sz w:val="24"/>
          <w:szCs w:val="24"/>
        </w:rPr>
        <w:t>向核技术公司、云科通指定的账户支付现金对价的</w:t>
      </w:r>
      <w:r>
        <w:rPr>
          <w:bCs/>
          <w:sz w:val="24"/>
          <w:szCs w:val="24"/>
        </w:rPr>
        <w:t>40%</w:t>
      </w:r>
      <w:r>
        <w:rPr>
          <w:bCs/>
          <w:sz w:val="24"/>
          <w:szCs w:val="24"/>
        </w:rPr>
        <w:t>；</w:t>
      </w:r>
    </w:p>
    <w:p w14:paraId="14C0CDEA" w14:textId="77777777" w:rsidR="00000000" w:rsidRDefault="00000000">
      <w:pPr>
        <w:spacing w:before="50" w:after="50" w:line="360" w:lineRule="auto"/>
        <w:ind w:firstLineChars="200" w:firstLine="480"/>
        <w:rPr>
          <w:bCs/>
          <w:sz w:val="24"/>
          <w:szCs w:val="24"/>
        </w:rPr>
      </w:pPr>
      <w:r>
        <w:rPr>
          <w:bCs/>
          <w:sz w:val="24"/>
          <w:szCs w:val="24"/>
        </w:rPr>
        <w:t>核技术公司、云科通完成</w:t>
      </w:r>
      <w:r>
        <w:rPr>
          <w:bCs/>
          <w:sz w:val="24"/>
          <w:szCs w:val="24"/>
        </w:rPr>
        <w:t>2023</w:t>
      </w:r>
      <w:r>
        <w:rPr>
          <w:bCs/>
          <w:sz w:val="24"/>
          <w:szCs w:val="24"/>
        </w:rPr>
        <w:t>年度业绩补偿义务</w:t>
      </w:r>
      <w:r>
        <w:rPr>
          <w:rFonts w:hint="eastAsia"/>
          <w:bCs/>
          <w:sz w:val="24"/>
          <w:szCs w:val="24"/>
        </w:rPr>
        <w:t>（如需）</w:t>
      </w:r>
      <w:r>
        <w:rPr>
          <w:bCs/>
          <w:sz w:val="24"/>
          <w:szCs w:val="24"/>
        </w:rPr>
        <w:t>且公司</w:t>
      </w:r>
      <w:r>
        <w:rPr>
          <w:rFonts w:hint="eastAsia"/>
          <w:bCs/>
          <w:sz w:val="24"/>
          <w:szCs w:val="24"/>
        </w:rPr>
        <w:t>就标的公司</w:t>
      </w:r>
      <w:r>
        <w:rPr>
          <w:rFonts w:hint="eastAsia"/>
          <w:bCs/>
          <w:sz w:val="24"/>
          <w:szCs w:val="24"/>
        </w:rPr>
        <w:t>2</w:t>
      </w:r>
      <w:r>
        <w:rPr>
          <w:bCs/>
          <w:sz w:val="24"/>
          <w:szCs w:val="24"/>
        </w:rPr>
        <w:t>023</w:t>
      </w:r>
      <w:r>
        <w:rPr>
          <w:rFonts w:hint="eastAsia"/>
          <w:bCs/>
          <w:sz w:val="24"/>
          <w:szCs w:val="24"/>
        </w:rPr>
        <w:t>年度业绩承诺完成情况专项审计报告作出公告后（以孰晚之日为准）</w:t>
      </w:r>
      <w:r>
        <w:rPr>
          <w:bCs/>
          <w:sz w:val="24"/>
          <w:szCs w:val="24"/>
        </w:rPr>
        <w:t>的</w:t>
      </w:r>
      <w:r>
        <w:rPr>
          <w:bCs/>
          <w:sz w:val="24"/>
          <w:szCs w:val="24"/>
        </w:rPr>
        <w:t>15</w:t>
      </w:r>
      <w:r>
        <w:rPr>
          <w:bCs/>
          <w:sz w:val="24"/>
          <w:szCs w:val="24"/>
        </w:rPr>
        <w:t>个工作日内，公司</w:t>
      </w:r>
      <w:r>
        <w:rPr>
          <w:rFonts w:hint="eastAsia"/>
          <w:bCs/>
          <w:sz w:val="24"/>
          <w:szCs w:val="24"/>
        </w:rPr>
        <w:t>分别</w:t>
      </w:r>
      <w:r>
        <w:rPr>
          <w:bCs/>
          <w:sz w:val="24"/>
          <w:szCs w:val="24"/>
        </w:rPr>
        <w:t>向核技术公司、云科通指定的账户支付现金对价的</w:t>
      </w:r>
      <w:r>
        <w:rPr>
          <w:bCs/>
          <w:sz w:val="24"/>
          <w:szCs w:val="24"/>
        </w:rPr>
        <w:t>20%</w:t>
      </w:r>
      <w:r>
        <w:rPr>
          <w:bCs/>
          <w:sz w:val="24"/>
          <w:szCs w:val="24"/>
        </w:rPr>
        <w:t>；</w:t>
      </w:r>
    </w:p>
    <w:p w14:paraId="43A83D7C" w14:textId="77777777" w:rsidR="00000000" w:rsidRDefault="00000000">
      <w:pPr>
        <w:spacing w:before="50" w:after="50" w:line="360" w:lineRule="auto"/>
        <w:ind w:firstLineChars="200" w:firstLine="480"/>
        <w:rPr>
          <w:bCs/>
          <w:sz w:val="24"/>
          <w:szCs w:val="24"/>
        </w:rPr>
      </w:pPr>
      <w:r>
        <w:rPr>
          <w:bCs/>
          <w:sz w:val="24"/>
          <w:szCs w:val="24"/>
        </w:rPr>
        <w:t>核技术公司、云科通完成</w:t>
      </w:r>
      <w:r>
        <w:rPr>
          <w:bCs/>
          <w:sz w:val="24"/>
          <w:szCs w:val="24"/>
        </w:rPr>
        <w:t>2024</w:t>
      </w:r>
      <w:r>
        <w:rPr>
          <w:bCs/>
          <w:sz w:val="24"/>
          <w:szCs w:val="24"/>
        </w:rPr>
        <w:t>年度业绩补偿义务</w:t>
      </w:r>
      <w:r>
        <w:rPr>
          <w:rFonts w:hint="eastAsia"/>
          <w:bCs/>
          <w:sz w:val="24"/>
          <w:szCs w:val="24"/>
        </w:rPr>
        <w:t>（如需）</w:t>
      </w:r>
      <w:r>
        <w:rPr>
          <w:bCs/>
          <w:sz w:val="24"/>
          <w:szCs w:val="24"/>
        </w:rPr>
        <w:t>且公司</w:t>
      </w:r>
      <w:r>
        <w:rPr>
          <w:rFonts w:hint="eastAsia"/>
          <w:bCs/>
          <w:sz w:val="24"/>
          <w:szCs w:val="24"/>
        </w:rPr>
        <w:t>就标的公司</w:t>
      </w:r>
      <w:r>
        <w:rPr>
          <w:rFonts w:hint="eastAsia"/>
          <w:bCs/>
          <w:sz w:val="24"/>
          <w:szCs w:val="24"/>
        </w:rPr>
        <w:t>2</w:t>
      </w:r>
      <w:r>
        <w:rPr>
          <w:bCs/>
          <w:sz w:val="24"/>
          <w:szCs w:val="24"/>
        </w:rPr>
        <w:t>024</w:t>
      </w:r>
      <w:r>
        <w:rPr>
          <w:rFonts w:hint="eastAsia"/>
          <w:bCs/>
          <w:sz w:val="24"/>
          <w:szCs w:val="24"/>
        </w:rPr>
        <w:t>年度业绩承诺完成情况专项审计报告作出公告后（以孰晚之日为准）</w:t>
      </w:r>
      <w:r>
        <w:rPr>
          <w:bCs/>
          <w:sz w:val="24"/>
          <w:szCs w:val="24"/>
        </w:rPr>
        <w:t>的</w:t>
      </w:r>
      <w:r>
        <w:rPr>
          <w:bCs/>
          <w:sz w:val="24"/>
          <w:szCs w:val="24"/>
        </w:rPr>
        <w:t>15</w:t>
      </w:r>
      <w:r>
        <w:rPr>
          <w:bCs/>
          <w:sz w:val="24"/>
          <w:szCs w:val="24"/>
        </w:rPr>
        <w:t>个工作日内，公司</w:t>
      </w:r>
      <w:r>
        <w:rPr>
          <w:rFonts w:hint="eastAsia"/>
          <w:bCs/>
          <w:sz w:val="24"/>
          <w:szCs w:val="24"/>
        </w:rPr>
        <w:t>分别</w:t>
      </w:r>
      <w:r>
        <w:rPr>
          <w:bCs/>
          <w:sz w:val="24"/>
          <w:szCs w:val="24"/>
        </w:rPr>
        <w:t>向核技术公司、云科通指定的账户支付现金对价的</w:t>
      </w:r>
      <w:r>
        <w:rPr>
          <w:bCs/>
          <w:sz w:val="24"/>
          <w:szCs w:val="24"/>
        </w:rPr>
        <w:t>20%</w:t>
      </w:r>
      <w:r>
        <w:rPr>
          <w:bCs/>
          <w:sz w:val="24"/>
          <w:szCs w:val="24"/>
        </w:rPr>
        <w:t>；</w:t>
      </w:r>
    </w:p>
    <w:p w14:paraId="284B8FB8" w14:textId="77777777" w:rsidR="00000000" w:rsidRDefault="00000000">
      <w:pPr>
        <w:spacing w:before="50" w:after="50" w:line="360" w:lineRule="auto"/>
        <w:ind w:firstLineChars="200" w:firstLine="480"/>
        <w:rPr>
          <w:bCs/>
          <w:sz w:val="24"/>
          <w:szCs w:val="24"/>
        </w:rPr>
      </w:pPr>
      <w:r>
        <w:rPr>
          <w:bCs/>
          <w:sz w:val="24"/>
          <w:szCs w:val="24"/>
        </w:rPr>
        <w:t>核技术公司、云科通完成</w:t>
      </w:r>
      <w:r>
        <w:rPr>
          <w:bCs/>
          <w:sz w:val="24"/>
          <w:szCs w:val="24"/>
        </w:rPr>
        <w:t>2025</w:t>
      </w:r>
      <w:r>
        <w:rPr>
          <w:bCs/>
          <w:sz w:val="24"/>
          <w:szCs w:val="24"/>
        </w:rPr>
        <w:t>年度业绩补偿义务和本次交易减值测试补偿义务</w:t>
      </w:r>
      <w:r>
        <w:rPr>
          <w:rFonts w:hint="eastAsia"/>
          <w:bCs/>
          <w:sz w:val="24"/>
          <w:szCs w:val="24"/>
        </w:rPr>
        <w:t>（如需）</w:t>
      </w:r>
      <w:r>
        <w:rPr>
          <w:bCs/>
          <w:sz w:val="24"/>
          <w:szCs w:val="24"/>
        </w:rPr>
        <w:t>且公司</w:t>
      </w:r>
      <w:r>
        <w:rPr>
          <w:rFonts w:hint="eastAsia"/>
          <w:bCs/>
          <w:sz w:val="24"/>
          <w:szCs w:val="24"/>
        </w:rPr>
        <w:t>就标的公司</w:t>
      </w:r>
      <w:r>
        <w:rPr>
          <w:rFonts w:hint="eastAsia"/>
          <w:bCs/>
          <w:sz w:val="24"/>
          <w:szCs w:val="24"/>
        </w:rPr>
        <w:t>2</w:t>
      </w:r>
      <w:r>
        <w:rPr>
          <w:bCs/>
          <w:sz w:val="24"/>
          <w:szCs w:val="24"/>
        </w:rPr>
        <w:t>025</w:t>
      </w:r>
      <w:r>
        <w:rPr>
          <w:rFonts w:hint="eastAsia"/>
          <w:bCs/>
          <w:sz w:val="24"/>
          <w:szCs w:val="24"/>
        </w:rPr>
        <w:t>年度业绩承诺完成情况专项审计报告作出公告后（以孰晚之日为准）的</w:t>
      </w:r>
      <w:r>
        <w:rPr>
          <w:bCs/>
          <w:sz w:val="24"/>
          <w:szCs w:val="24"/>
        </w:rPr>
        <w:t>15</w:t>
      </w:r>
      <w:r>
        <w:rPr>
          <w:bCs/>
          <w:sz w:val="24"/>
          <w:szCs w:val="24"/>
        </w:rPr>
        <w:t>个工作日内，公司</w:t>
      </w:r>
      <w:r>
        <w:rPr>
          <w:rFonts w:hint="eastAsia"/>
          <w:bCs/>
          <w:sz w:val="24"/>
          <w:szCs w:val="24"/>
        </w:rPr>
        <w:t>分别</w:t>
      </w:r>
      <w:r>
        <w:rPr>
          <w:bCs/>
          <w:sz w:val="24"/>
          <w:szCs w:val="24"/>
        </w:rPr>
        <w:t>向核技术公司、云科通指定的账户支付现金对价的</w:t>
      </w:r>
      <w:r>
        <w:rPr>
          <w:bCs/>
          <w:sz w:val="24"/>
          <w:szCs w:val="24"/>
        </w:rPr>
        <w:t>20%</w:t>
      </w:r>
      <w:r>
        <w:rPr>
          <w:bCs/>
          <w:sz w:val="24"/>
          <w:szCs w:val="24"/>
        </w:rPr>
        <w:t>。</w:t>
      </w:r>
    </w:p>
    <w:p w14:paraId="75D55F3B"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15B34F06"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AEB64EF"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538BF0CD" w14:textId="77777777" w:rsidR="00000000" w:rsidRDefault="00000000">
      <w:pPr>
        <w:spacing w:before="50" w:after="50" w:line="360" w:lineRule="auto"/>
        <w:ind w:firstLineChars="200" w:firstLine="482"/>
        <w:rPr>
          <w:b/>
          <w:bCs/>
          <w:sz w:val="24"/>
          <w:szCs w:val="24"/>
        </w:rPr>
      </w:pPr>
      <w:r>
        <w:rPr>
          <w:rFonts w:ascii="宋体" w:hAnsi="宋体" w:hint="eastAsia"/>
          <w:b/>
          <w:bCs/>
          <w:sz w:val="24"/>
          <w:szCs w:val="24"/>
        </w:rPr>
        <w:t>⑩</w:t>
      </w:r>
      <w:r>
        <w:rPr>
          <w:b/>
          <w:bCs/>
          <w:sz w:val="24"/>
          <w:szCs w:val="24"/>
        </w:rPr>
        <w:t>股份限售期</w:t>
      </w:r>
    </w:p>
    <w:p w14:paraId="3AA1C95B" w14:textId="77777777" w:rsidR="00000000" w:rsidRDefault="00000000">
      <w:pPr>
        <w:spacing w:before="50" w:after="50" w:line="360" w:lineRule="auto"/>
        <w:ind w:firstLineChars="200" w:firstLine="480"/>
        <w:rPr>
          <w:bCs/>
          <w:sz w:val="24"/>
          <w:szCs w:val="24"/>
        </w:rPr>
      </w:pPr>
      <w:r>
        <w:rPr>
          <w:bCs/>
          <w:sz w:val="24"/>
          <w:szCs w:val="24"/>
        </w:rPr>
        <w:t>核技术公司</w:t>
      </w:r>
      <w:r>
        <w:rPr>
          <w:rFonts w:hint="eastAsia"/>
          <w:bCs/>
          <w:sz w:val="24"/>
          <w:szCs w:val="24"/>
        </w:rPr>
        <w:t>因</w:t>
      </w:r>
      <w:r>
        <w:rPr>
          <w:bCs/>
          <w:sz w:val="24"/>
          <w:szCs w:val="24"/>
        </w:rPr>
        <w:t>本次交易</w:t>
      </w:r>
      <w:r>
        <w:rPr>
          <w:rFonts w:hint="eastAsia"/>
          <w:bCs/>
          <w:sz w:val="24"/>
          <w:szCs w:val="24"/>
        </w:rPr>
        <w:t>中发行股份购买资产</w:t>
      </w:r>
      <w:r>
        <w:rPr>
          <w:bCs/>
          <w:sz w:val="24"/>
          <w:szCs w:val="24"/>
        </w:rPr>
        <w:t>获得的公司股份，自本次股份发行结束之日起</w:t>
      </w:r>
      <w:r>
        <w:rPr>
          <w:bCs/>
          <w:sz w:val="24"/>
          <w:szCs w:val="24"/>
        </w:rPr>
        <w:t>36</w:t>
      </w:r>
      <w:r>
        <w:rPr>
          <w:bCs/>
          <w:sz w:val="24"/>
          <w:szCs w:val="24"/>
        </w:rPr>
        <w:t>个月内不得转让。本次交易完成后</w:t>
      </w:r>
      <w:r>
        <w:rPr>
          <w:bCs/>
          <w:sz w:val="24"/>
          <w:szCs w:val="24"/>
        </w:rPr>
        <w:t>6</w:t>
      </w:r>
      <w:r>
        <w:rPr>
          <w:bCs/>
          <w:sz w:val="24"/>
          <w:szCs w:val="24"/>
        </w:rPr>
        <w:t>个月内，如公司股票连续</w:t>
      </w:r>
      <w:r>
        <w:rPr>
          <w:bCs/>
          <w:sz w:val="24"/>
          <w:szCs w:val="24"/>
        </w:rPr>
        <w:t>20</w:t>
      </w:r>
      <w:r>
        <w:rPr>
          <w:bCs/>
          <w:sz w:val="24"/>
          <w:szCs w:val="24"/>
        </w:rPr>
        <w:t>个交易日的收盘价低于发行价，或者交易完成后</w:t>
      </w:r>
      <w:r>
        <w:rPr>
          <w:bCs/>
          <w:sz w:val="24"/>
          <w:szCs w:val="24"/>
        </w:rPr>
        <w:t>6</w:t>
      </w:r>
      <w:r>
        <w:rPr>
          <w:bCs/>
          <w:sz w:val="24"/>
          <w:szCs w:val="24"/>
        </w:rPr>
        <w:t>个月期末收盘价低于发行价的，其持有公司股票的锁定期自动延长</w:t>
      </w:r>
      <w:r>
        <w:rPr>
          <w:bCs/>
          <w:sz w:val="24"/>
          <w:szCs w:val="24"/>
        </w:rPr>
        <w:t>6</w:t>
      </w:r>
      <w:r>
        <w:rPr>
          <w:bCs/>
          <w:sz w:val="24"/>
          <w:szCs w:val="24"/>
        </w:rPr>
        <w:t>个月。如本次交易因涉嫌所提供或披露的信息存在虚假记载、误导性陈述或者重大遗漏，被司法机关立案侦查或者被中国证监会立案调查的，在案件调查结论明确以前，核技术公司不转让其在公司拥有权益的股份。</w:t>
      </w:r>
    </w:p>
    <w:p w14:paraId="6BB67C93" w14:textId="77777777" w:rsidR="00000000" w:rsidRDefault="00000000">
      <w:pPr>
        <w:spacing w:before="50" w:after="50" w:line="360" w:lineRule="auto"/>
        <w:ind w:firstLineChars="200" w:firstLine="480"/>
        <w:rPr>
          <w:bCs/>
          <w:sz w:val="24"/>
          <w:szCs w:val="24"/>
        </w:rPr>
      </w:pPr>
      <w:r>
        <w:rPr>
          <w:bCs/>
          <w:sz w:val="24"/>
          <w:szCs w:val="24"/>
        </w:rPr>
        <w:t>云科通因本次交易而取得的中广核技股份在该等股份发行结束之日起</w:t>
      </w:r>
      <w:r>
        <w:rPr>
          <w:bCs/>
          <w:sz w:val="24"/>
          <w:szCs w:val="24"/>
        </w:rPr>
        <w:t>12</w:t>
      </w:r>
      <w:r>
        <w:rPr>
          <w:bCs/>
          <w:sz w:val="24"/>
          <w:szCs w:val="24"/>
        </w:rPr>
        <w:t>个</w:t>
      </w:r>
      <w:r>
        <w:rPr>
          <w:bCs/>
          <w:sz w:val="24"/>
          <w:szCs w:val="24"/>
        </w:rPr>
        <w:lastRenderedPageBreak/>
        <w:t>月内不得转让。同时，为保证云科通履行对公司的业绩承诺及减值测试的补偿义务，云科通因本次交易而取得的公司股份的</w:t>
      </w:r>
      <w:r>
        <w:rPr>
          <w:bCs/>
          <w:sz w:val="24"/>
          <w:szCs w:val="24"/>
        </w:rPr>
        <w:t>50%</w:t>
      </w:r>
      <w:r>
        <w:rPr>
          <w:bCs/>
          <w:sz w:val="24"/>
          <w:szCs w:val="24"/>
        </w:rPr>
        <w:t>在本次交易业绩承诺及减值测试的补偿义务履行完毕前不得转让。</w:t>
      </w:r>
    </w:p>
    <w:p w14:paraId="52D60F68" w14:textId="77777777" w:rsidR="00000000" w:rsidRDefault="00000000">
      <w:pPr>
        <w:spacing w:before="50" w:after="50" w:line="360" w:lineRule="auto"/>
        <w:ind w:firstLineChars="200" w:firstLine="480"/>
        <w:rPr>
          <w:bCs/>
          <w:sz w:val="24"/>
          <w:szCs w:val="24"/>
        </w:rPr>
      </w:pPr>
      <w:r>
        <w:rPr>
          <w:bCs/>
          <w:sz w:val="24"/>
          <w:szCs w:val="24"/>
        </w:rPr>
        <w:t>限售期内，上述交易对方基于本次交易所取得的</w:t>
      </w:r>
      <w:bookmarkStart w:id="7" w:name="_Hlk107441611"/>
      <w:r>
        <w:rPr>
          <w:bCs/>
          <w:sz w:val="24"/>
          <w:szCs w:val="24"/>
        </w:rPr>
        <w:t>公司股份因送红股、转增股本等原因变动增加的部分，亦将遵守上述约定。</w:t>
      </w:r>
    </w:p>
    <w:p w14:paraId="7919FA4B" w14:textId="77777777" w:rsidR="00000000" w:rsidRDefault="00000000">
      <w:pPr>
        <w:spacing w:before="50" w:after="50" w:line="360" w:lineRule="auto"/>
        <w:ind w:firstLineChars="200" w:firstLine="480"/>
        <w:rPr>
          <w:bCs/>
          <w:sz w:val="24"/>
          <w:szCs w:val="24"/>
        </w:rPr>
      </w:pPr>
      <w:r>
        <w:rPr>
          <w:bCs/>
          <w:sz w:val="24"/>
          <w:szCs w:val="24"/>
        </w:rPr>
        <w:t>若上述股份限售安排与证券监管机构的最新监管意见不相符，交易各方同意根据相关证券监管机构的监管意见进行相应调整。</w:t>
      </w:r>
      <w:bookmarkEnd w:id="7"/>
    </w:p>
    <w:p w14:paraId="74A41690"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6029450"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3C00A099" w14:textId="77777777" w:rsidR="00000000" w:rsidRDefault="00000000">
      <w:pPr>
        <w:spacing w:before="50" w:after="50" w:line="360" w:lineRule="auto"/>
        <w:ind w:firstLineChars="200" w:firstLine="480"/>
        <w:rPr>
          <w:bCs/>
          <w:sz w:val="24"/>
          <w:szCs w:val="24"/>
        </w:rPr>
      </w:pPr>
      <w:r>
        <w:rPr>
          <w:bCs/>
          <w:sz w:val="24"/>
          <w:szCs w:val="24"/>
        </w:rPr>
        <w:t>表决结果：通过。</w:t>
      </w:r>
    </w:p>
    <w:p w14:paraId="7F1DD7C2" w14:textId="77777777" w:rsidR="00000000" w:rsidRDefault="00000000">
      <w:pPr>
        <w:spacing w:beforeLines="50" w:before="156" w:afterLines="50" w:after="156" w:line="360" w:lineRule="auto"/>
        <w:ind w:left="482"/>
        <w:rPr>
          <w:b/>
          <w:bCs/>
          <w:color w:val="000000"/>
          <w:sz w:val="24"/>
        </w:rPr>
      </w:pPr>
      <w:r>
        <w:rPr>
          <w:b/>
          <w:bCs/>
          <w:color w:val="000000"/>
          <w:sz w:val="24"/>
        </w:rPr>
        <w:t>（</w:t>
      </w:r>
      <w:r>
        <w:rPr>
          <w:rFonts w:hint="eastAsia"/>
          <w:b/>
          <w:bCs/>
          <w:color w:val="000000"/>
          <w:sz w:val="24"/>
        </w:rPr>
        <w:t>2</w:t>
      </w:r>
      <w:r>
        <w:rPr>
          <w:b/>
          <w:bCs/>
          <w:color w:val="000000"/>
          <w:sz w:val="24"/>
        </w:rPr>
        <w:t>）募集配套资金</w:t>
      </w:r>
    </w:p>
    <w:p w14:paraId="36EB26F0"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①</w:t>
      </w:r>
      <w:r>
        <w:rPr>
          <w:rFonts w:hint="eastAsia"/>
          <w:b/>
          <w:sz w:val="24"/>
          <w:szCs w:val="24"/>
        </w:rPr>
        <w:t>发行股份的种类和每股面值</w:t>
      </w:r>
    </w:p>
    <w:p w14:paraId="76418998" w14:textId="77777777" w:rsidR="00000000" w:rsidRDefault="00000000">
      <w:pPr>
        <w:spacing w:before="50" w:after="50" w:line="360" w:lineRule="auto"/>
        <w:ind w:firstLineChars="200" w:firstLine="480"/>
        <w:rPr>
          <w:bCs/>
          <w:sz w:val="24"/>
          <w:szCs w:val="24"/>
        </w:rPr>
      </w:pPr>
      <w:r>
        <w:rPr>
          <w:rFonts w:hint="eastAsia"/>
          <w:bCs/>
          <w:sz w:val="24"/>
          <w:szCs w:val="24"/>
        </w:rPr>
        <w:t>本次募集配套资金发行的股票种类为境内上市人民币普通股（</w:t>
      </w:r>
      <w:r>
        <w:rPr>
          <w:bCs/>
          <w:sz w:val="24"/>
          <w:szCs w:val="24"/>
        </w:rPr>
        <w:t>A</w:t>
      </w:r>
      <w:r>
        <w:rPr>
          <w:rFonts w:hint="eastAsia"/>
          <w:bCs/>
          <w:sz w:val="24"/>
          <w:szCs w:val="24"/>
        </w:rPr>
        <w:t>股），每股面值为人民币</w:t>
      </w:r>
      <w:r>
        <w:rPr>
          <w:bCs/>
          <w:sz w:val="24"/>
          <w:szCs w:val="24"/>
        </w:rPr>
        <w:t>1.00</w:t>
      </w:r>
      <w:r>
        <w:rPr>
          <w:rFonts w:hint="eastAsia"/>
          <w:bCs/>
          <w:sz w:val="24"/>
          <w:szCs w:val="24"/>
        </w:rPr>
        <w:t>元。</w:t>
      </w:r>
    </w:p>
    <w:p w14:paraId="4B488634"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385147A4"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213634BF"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379258E1"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②</w:t>
      </w:r>
      <w:r>
        <w:rPr>
          <w:rFonts w:hint="eastAsia"/>
          <w:b/>
          <w:sz w:val="24"/>
          <w:szCs w:val="24"/>
        </w:rPr>
        <w:t>发行对象和发行方式</w:t>
      </w:r>
    </w:p>
    <w:p w14:paraId="0468933F" w14:textId="77777777" w:rsidR="00000000" w:rsidRDefault="00000000">
      <w:pPr>
        <w:spacing w:before="50" w:after="50" w:line="360" w:lineRule="auto"/>
        <w:ind w:firstLineChars="200" w:firstLine="480"/>
        <w:rPr>
          <w:bCs/>
          <w:sz w:val="24"/>
          <w:szCs w:val="24"/>
        </w:rPr>
      </w:pPr>
      <w:r>
        <w:rPr>
          <w:bCs/>
          <w:sz w:val="24"/>
          <w:szCs w:val="24"/>
        </w:rPr>
        <w:t>本次募集配套资金发行股份采取向特定对象发行股份方式，发行对象为核技术公司。</w:t>
      </w:r>
    </w:p>
    <w:p w14:paraId="3AE593C1"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146231FA"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623F5A7"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7C93B31F"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lastRenderedPageBreak/>
        <w:t>③</w:t>
      </w:r>
      <w:r>
        <w:rPr>
          <w:rFonts w:hint="eastAsia"/>
          <w:b/>
          <w:sz w:val="24"/>
          <w:szCs w:val="24"/>
        </w:rPr>
        <w:t>发行数量和金额</w:t>
      </w:r>
    </w:p>
    <w:p w14:paraId="494BB9F3" w14:textId="77777777" w:rsidR="00000000" w:rsidRDefault="00000000">
      <w:pPr>
        <w:spacing w:before="50" w:after="50" w:line="360" w:lineRule="auto"/>
        <w:ind w:firstLineChars="200" w:firstLine="480"/>
        <w:rPr>
          <w:bCs/>
          <w:sz w:val="24"/>
          <w:szCs w:val="24"/>
        </w:rPr>
      </w:pPr>
      <w:r>
        <w:rPr>
          <w:rFonts w:hint="eastAsia"/>
          <w:bCs/>
          <w:sz w:val="24"/>
          <w:szCs w:val="24"/>
        </w:rPr>
        <w:t>本次交易中，公司拟向核技术公司发行人民币普通股募集配套资金，募集资金总额不超过</w:t>
      </w:r>
      <w:r>
        <w:rPr>
          <w:bCs/>
          <w:sz w:val="24"/>
          <w:szCs w:val="24"/>
        </w:rPr>
        <w:t>30,000.00</w:t>
      </w:r>
      <w:r>
        <w:rPr>
          <w:rFonts w:hint="eastAsia"/>
          <w:bCs/>
          <w:sz w:val="24"/>
          <w:szCs w:val="24"/>
        </w:rPr>
        <w:t>万元。本次募集配套资金总额不超过本次拟以发行股份方式购买资产的交易价格的</w:t>
      </w:r>
      <w:r>
        <w:rPr>
          <w:bCs/>
          <w:sz w:val="24"/>
          <w:szCs w:val="24"/>
        </w:rPr>
        <w:t>100%</w:t>
      </w:r>
      <w:r>
        <w:rPr>
          <w:rFonts w:hint="eastAsia"/>
          <w:bCs/>
          <w:sz w:val="24"/>
          <w:szCs w:val="24"/>
        </w:rPr>
        <w:t>，且发行的股份数量不超过本次交易前上市公司总股本的</w:t>
      </w:r>
      <w:r>
        <w:rPr>
          <w:bCs/>
          <w:sz w:val="24"/>
          <w:szCs w:val="24"/>
        </w:rPr>
        <w:t>30%</w:t>
      </w:r>
      <w:r>
        <w:rPr>
          <w:rFonts w:hint="eastAsia"/>
          <w:bCs/>
          <w:sz w:val="24"/>
          <w:szCs w:val="24"/>
        </w:rPr>
        <w:t>，最终的发行数量及价格按照证券监管机构的相关规定确定。</w:t>
      </w:r>
    </w:p>
    <w:p w14:paraId="79298BB2" w14:textId="77777777" w:rsidR="00000000" w:rsidRDefault="00000000">
      <w:pPr>
        <w:spacing w:before="50" w:after="50" w:line="360" w:lineRule="auto"/>
        <w:ind w:firstLineChars="200" w:firstLine="480"/>
        <w:rPr>
          <w:bCs/>
          <w:sz w:val="24"/>
          <w:szCs w:val="24"/>
        </w:rPr>
      </w:pPr>
      <w:r>
        <w:rPr>
          <w:rFonts w:hint="eastAsia"/>
          <w:bCs/>
          <w:sz w:val="24"/>
          <w:szCs w:val="24"/>
        </w:rPr>
        <w:t>在募集配套资金发行股份定价基准日至发行日期间，若上市公司发生派息、送股、配股、资本公积转增股本等除权、除息事项，本次发行价格及发行数量将按照中国证监会和深交所的相关规则进行相应调整。</w:t>
      </w:r>
    </w:p>
    <w:p w14:paraId="49E1257F"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D686076"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08497B38"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0608B97C"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④</w:t>
      </w:r>
      <w:r>
        <w:rPr>
          <w:rFonts w:hint="eastAsia"/>
          <w:b/>
          <w:sz w:val="24"/>
          <w:szCs w:val="24"/>
        </w:rPr>
        <w:t>发行股份的定价基准日及发行价格</w:t>
      </w:r>
    </w:p>
    <w:p w14:paraId="17C08EFC" w14:textId="77777777" w:rsidR="00000000" w:rsidRDefault="00000000">
      <w:pPr>
        <w:spacing w:before="50" w:after="50" w:line="360" w:lineRule="auto"/>
        <w:ind w:firstLineChars="200" w:firstLine="480"/>
        <w:rPr>
          <w:bCs/>
          <w:sz w:val="24"/>
          <w:szCs w:val="24"/>
        </w:rPr>
      </w:pPr>
      <w:r>
        <w:rPr>
          <w:bCs/>
          <w:sz w:val="24"/>
          <w:szCs w:val="24"/>
        </w:rPr>
        <w:t>本次募集配套资金的发行价格不低于定价基准日前</w:t>
      </w:r>
      <w:r>
        <w:rPr>
          <w:bCs/>
          <w:sz w:val="24"/>
          <w:szCs w:val="24"/>
        </w:rPr>
        <w:t>20</w:t>
      </w:r>
      <w:r>
        <w:rPr>
          <w:bCs/>
          <w:sz w:val="24"/>
          <w:szCs w:val="24"/>
        </w:rPr>
        <w:t>个交易日公司股票交易均价的</w:t>
      </w:r>
      <w:r>
        <w:rPr>
          <w:bCs/>
          <w:sz w:val="24"/>
          <w:szCs w:val="24"/>
        </w:rPr>
        <w:t>80%</w:t>
      </w:r>
      <w:r>
        <w:rPr>
          <w:bCs/>
          <w:sz w:val="24"/>
          <w:szCs w:val="24"/>
        </w:rPr>
        <w:t>。</w:t>
      </w:r>
    </w:p>
    <w:p w14:paraId="513A1138" w14:textId="77777777" w:rsidR="00000000" w:rsidRDefault="00000000">
      <w:pPr>
        <w:spacing w:before="50" w:after="50" w:line="360" w:lineRule="auto"/>
        <w:ind w:firstLineChars="200" w:firstLine="480"/>
        <w:rPr>
          <w:bCs/>
          <w:sz w:val="24"/>
          <w:szCs w:val="24"/>
        </w:rPr>
      </w:pPr>
      <w:r>
        <w:rPr>
          <w:bCs/>
          <w:sz w:val="24"/>
          <w:szCs w:val="24"/>
        </w:rPr>
        <w:t>定价基准日为中广核技第</w:t>
      </w:r>
      <w:r>
        <w:rPr>
          <w:rFonts w:hint="eastAsia"/>
          <w:bCs/>
          <w:sz w:val="24"/>
          <w:szCs w:val="24"/>
        </w:rPr>
        <w:t>十</w:t>
      </w:r>
      <w:r>
        <w:rPr>
          <w:bCs/>
          <w:sz w:val="24"/>
          <w:szCs w:val="24"/>
        </w:rPr>
        <w:t>届董事会第</w:t>
      </w:r>
      <w:r>
        <w:rPr>
          <w:rFonts w:hint="eastAsia"/>
          <w:bCs/>
          <w:sz w:val="24"/>
          <w:szCs w:val="24"/>
        </w:rPr>
        <w:t>九</w:t>
      </w:r>
      <w:r>
        <w:rPr>
          <w:bCs/>
          <w:sz w:val="24"/>
          <w:szCs w:val="24"/>
        </w:rPr>
        <w:t>次会议决议公告日。</w:t>
      </w:r>
    </w:p>
    <w:p w14:paraId="3BB3699C" w14:textId="77777777" w:rsidR="00000000" w:rsidRDefault="00000000">
      <w:pPr>
        <w:spacing w:before="50" w:after="50" w:line="360" w:lineRule="auto"/>
        <w:ind w:firstLineChars="200" w:firstLine="480"/>
        <w:rPr>
          <w:bCs/>
          <w:sz w:val="24"/>
          <w:szCs w:val="24"/>
        </w:rPr>
      </w:pPr>
      <w:r>
        <w:rPr>
          <w:bCs/>
          <w:sz w:val="24"/>
          <w:szCs w:val="24"/>
        </w:rPr>
        <w:t>本次募集配套资金的股份发行价格为</w:t>
      </w:r>
      <w:r>
        <w:rPr>
          <w:rFonts w:hint="eastAsia"/>
          <w:bCs/>
          <w:sz w:val="24"/>
          <w:szCs w:val="24"/>
        </w:rPr>
        <w:t>6</w:t>
      </w:r>
      <w:r>
        <w:rPr>
          <w:bCs/>
          <w:sz w:val="24"/>
          <w:szCs w:val="24"/>
        </w:rPr>
        <w:t>.69</w:t>
      </w:r>
      <w:r>
        <w:rPr>
          <w:bCs/>
          <w:sz w:val="24"/>
          <w:szCs w:val="24"/>
        </w:rPr>
        <w:t>元</w:t>
      </w:r>
      <w:r>
        <w:rPr>
          <w:bCs/>
          <w:sz w:val="24"/>
          <w:szCs w:val="24"/>
        </w:rPr>
        <w:t>/</w:t>
      </w:r>
      <w:r>
        <w:rPr>
          <w:bCs/>
          <w:sz w:val="24"/>
          <w:szCs w:val="24"/>
        </w:rPr>
        <w:t>股，发行价格不低于</w:t>
      </w:r>
      <w:r>
        <w:rPr>
          <w:rFonts w:hint="eastAsia"/>
          <w:bCs/>
          <w:sz w:val="24"/>
          <w:szCs w:val="24"/>
        </w:rPr>
        <w:t>定价基准日</w:t>
      </w:r>
      <w:r>
        <w:rPr>
          <w:bCs/>
          <w:sz w:val="24"/>
          <w:szCs w:val="24"/>
        </w:rPr>
        <w:t>前</w:t>
      </w:r>
      <w:r>
        <w:rPr>
          <w:bCs/>
          <w:sz w:val="24"/>
          <w:szCs w:val="24"/>
        </w:rPr>
        <w:t>20</w:t>
      </w:r>
      <w:r>
        <w:rPr>
          <w:bCs/>
          <w:sz w:val="24"/>
          <w:szCs w:val="24"/>
        </w:rPr>
        <w:t>个交易日公司股票交易均价的</w:t>
      </w:r>
      <w:r>
        <w:rPr>
          <w:bCs/>
          <w:sz w:val="24"/>
          <w:szCs w:val="24"/>
        </w:rPr>
        <w:t>80%</w:t>
      </w:r>
      <w:r>
        <w:rPr>
          <w:bCs/>
          <w:sz w:val="24"/>
          <w:szCs w:val="24"/>
        </w:rPr>
        <w:t>，</w:t>
      </w:r>
      <w:r>
        <w:rPr>
          <w:rFonts w:hint="eastAsia"/>
          <w:bCs/>
          <w:sz w:val="24"/>
          <w:szCs w:val="24"/>
        </w:rPr>
        <w:t>且不低于中广核技最近一期经审计的每股净资产值。</w:t>
      </w:r>
    </w:p>
    <w:p w14:paraId="6CE75E76" w14:textId="77777777" w:rsidR="00000000" w:rsidRDefault="00000000">
      <w:pPr>
        <w:spacing w:before="50" w:after="50" w:line="360" w:lineRule="auto"/>
        <w:ind w:firstLineChars="200" w:firstLine="480"/>
        <w:rPr>
          <w:bCs/>
          <w:sz w:val="24"/>
          <w:szCs w:val="24"/>
        </w:rPr>
      </w:pPr>
      <w:r>
        <w:rPr>
          <w:bCs/>
          <w:sz w:val="24"/>
          <w:szCs w:val="24"/>
        </w:rPr>
        <w:t>在定价基准日至股份上市日期间，若公司发生派发</w:t>
      </w:r>
      <w:r>
        <w:rPr>
          <w:rFonts w:hint="eastAsia"/>
          <w:bCs/>
          <w:sz w:val="24"/>
          <w:szCs w:val="24"/>
        </w:rPr>
        <w:t>现金</w:t>
      </w:r>
      <w:r>
        <w:rPr>
          <w:bCs/>
          <w:sz w:val="24"/>
          <w:szCs w:val="24"/>
        </w:rPr>
        <w:t>股利、送红股、转增股本或配股等除息、除权行为，本次发行价格及数量将作相应调整。</w:t>
      </w:r>
    </w:p>
    <w:p w14:paraId="031FB814" w14:textId="77777777" w:rsidR="00000000" w:rsidRDefault="00000000">
      <w:pPr>
        <w:spacing w:before="50" w:after="50" w:line="360" w:lineRule="auto"/>
        <w:ind w:firstLineChars="200" w:firstLine="480"/>
        <w:rPr>
          <w:bCs/>
          <w:sz w:val="24"/>
          <w:szCs w:val="24"/>
        </w:rPr>
      </w:pPr>
      <w:r>
        <w:rPr>
          <w:bCs/>
          <w:sz w:val="24"/>
          <w:szCs w:val="24"/>
        </w:rPr>
        <w:t>假设调整前每股发行价格为</w:t>
      </w:r>
      <w:r>
        <w:rPr>
          <w:bCs/>
          <w:sz w:val="24"/>
          <w:szCs w:val="24"/>
        </w:rPr>
        <w:t>P0</w:t>
      </w:r>
      <w:r>
        <w:rPr>
          <w:bCs/>
          <w:sz w:val="24"/>
          <w:szCs w:val="24"/>
        </w:rPr>
        <w:t>，每股送股或转增股本数为</w:t>
      </w:r>
      <w:r>
        <w:rPr>
          <w:bCs/>
          <w:sz w:val="24"/>
          <w:szCs w:val="24"/>
        </w:rPr>
        <w:t>N</w:t>
      </w:r>
      <w:r>
        <w:rPr>
          <w:bCs/>
          <w:sz w:val="24"/>
          <w:szCs w:val="24"/>
        </w:rPr>
        <w:t>，每股配股数为</w:t>
      </w:r>
      <w:r>
        <w:rPr>
          <w:bCs/>
          <w:sz w:val="24"/>
          <w:szCs w:val="24"/>
        </w:rPr>
        <w:t>K</w:t>
      </w:r>
      <w:r>
        <w:rPr>
          <w:bCs/>
          <w:sz w:val="24"/>
          <w:szCs w:val="24"/>
        </w:rPr>
        <w:t>，配股价为</w:t>
      </w:r>
      <w:r>
        <w:rPr>
          <w:bCs/>
          <w:sz w:val="24"/>
          <w:szCs w:val="24"/>
        </w:rPr>
        <w:t>A</w:t>
      </w:r>
      <w:r>
        <w:rPr>
          <w:bCs/>
          <w:sz w:val="24"/>
          <w:szCs w:val="24"/>
        </w:rPr>
        <w:t>，每股派息为</w:t>
      </w:r>
      <w:r>
        <w:rPr>
          <w:bCs/>
          <w:sz w:val="24"/>
          <w:szCs w:val="24"/>
        </w:rPr>
        <w:t>D</w:t>
      </w:r>
      <w:r>
        <w:rPr>
          <w:bCs/>
          <w:sz w:val="24"/>
          <w:szCs w:val="24"/>
        </w:rPr>
        <w:t>，调整后发行价格为</w:t>
      </w:r>
      <w:r>
        <w:rPr>
          <w:bCs/>
          <w:sz w:val="24"/>
          <w:szCs w:val="24"/>
        </w:rPr>
        <w:t>P1</w:t>
      </w:r>
      <w:r>
        <w:rPr>
          <w:bCs/>
          <w:sz w:val="24"/>
          <w:szCs w:val="24"/>
        </w:rPr>
        <w:t>，则：</w:t>
      </w:r>
    </w:p>
    <w:p w14:paraId="72E57742" w14:textId="77777777" w:rsidR="00000000" w:rsidRDefault="00000000">
      <w:pPr>
        <w:spacing w:before="50" w:after="50" w:line="360" w:lineRule="auto"/>
        <w:ind w:firstLineChars="200" w:firstLine="480"/>
        <w:rPr>
          <w:bCs/>
          <w:sz w:val="24"/>
          <w:szCs w:val="24"/>
        </w:rPr>
      </w:pPr>
      <w:r>
        <w:rPr>
          <w:rFonts w:hint="eastAsia"/>
          <w:bCs/>
          <w:sz w:val="24"/>
          <w:szCs w:val="24"/>
        </w:rPr>
        <w:t>当送红股或转增股本时，按如下公式调整：</w:t>
      </w:r>
      <w:r>
        <w:rPr>
          <w:rFonts w:hint="eastAsia"/>
          <w:bCs/>
          <w:sz w:val="24"/>
          <w:szCs w:val="24"/>
        </w:rPr>
        <w:t>P1=P0/</w:t>
      </w:r>
      <w:r>
        <w:rPr>
          <w:rFonts w:hint="eastAsia"/>
          <w:bCs/>
          <w:sz w:val="24"/>
          <w:szCs w:val="24"/>
        </w:rPr>
        <w:t>（</w:t>
      </w:r>
      <w:r>
        <w:rPr>
          <w:rFonts w:hint="eastAsia"/>
          <w:bCs/>
          <w:sz w:val="24"/>
          <w:szCs w:val="24"/>
        </w:rPr>
        <w:t>1+N</w:t>
      </w:r>
      <w:r>
        <w:rPr>
          <w:rFonts w:hint="eastAsia"/>
          <w:bCs/>
          <w:sz w:val="24"/>
          <w:szCs w:val="24"/>
        </w:rPr>
        <w:t>）</w:t>
      </w:r>
    </w:p>
    <w:p w14:paraId="681D0E52" w14:textId="77777777" w:rsidR="00000000" w:rsidRDefault="00000000">
      <w:pPr>
        <w:spacing w:before="50" w:after="50" w:line="360" w:lineRule="auto"/>
        <w:ind w:firstLineChars="200" w:firstLine="480"/>
        <w:rPr>
          <w:bCs/>
          <w:sz w:val="24"/>
          <w:szCs w:val="24"/>
        </w:rPr>
      </w:pPr>
      <w:r>
        <w:rPr>
          <w:rFonts w:hint="eastAsia"/>
          <w:bCs/>
          <w:sz w:val="24"/>
          <w:szCs w:val="24"/>
        </w:rPr>
        <w:t>当配股时，按如下公式调整：</w:t>
      </w:r>
      <w:r>
        <w:rPr>
          <w:rFonts w:hint="eastAsia"/>
          <w:bCs/>
          <w:sz w:val="24"/>
          <w:szCs w:val="24"/>
        </w:rPr>
        <w:t>P1=</w:t>
      </w:r>
      <w:r>
        <w:rPr>
          <w:rFonts w:hint="eastAsia"/>
          <w:bCs/>
          <w:sz w:val="24"/>
          <w:szCs w:val="24"/>
        </w:rPr>
        <w:t>（</w:t>
      </w:r>
      <w:r>
        <w:rPr>
          <w:rFonts w:hint="eastAsia"/>
          <w:bCs/>
          <w:sz w:val="24"/>
          <w:szCs w:val="24"/>
        </w:rPr>
        <w:t>P0+A</w:t>
      </w:r>
      <w:r>
        <w:rPr>
          <w:rFonts w:hint="eastAsia"/>
          <w:bCs/>
          <w:sz w:val="24"/>
          <w:szCs w:val="24"/>
        </w:rPr>
        <w:t>×</w:t>
      </w:r>
      <w:r>
        <w:rPr>
          <w:rFonts w:hint="eastAsia"/>
          <w:bCs/>
          <w:sz w:val="24"/>
          <w:szCs w:val="24"/>
        </w:rPr>
        <w:t>K</w:t>
      </w:r>
      <w:r>
        <w:rPr>
          <w:rFonts w:hint="eastAsia"/>
          <w:bCs/>
          <w:sz w:val="24"/>
          <w:szCs w:val="24"/>
        </w:rPr>
        <w:t>）</w:t>
      </w:r>
      <w:r>
        <w:rPr>
          <w:rFonts w:hint="eastAsia"/>
          <w:bCs/>
          <w:sz w:val="24"/>
          <w:szCs w:val="24"/>
        </w:rPr>
        <w:t>/</w:t>
      </w:r>
      <w:r>
        <w:rPr>
          <w:rFonts w:hint="eastAsia"/>
          <w:bCs/>
          <w:sz w:val="24"/>
          <w:szCs w:val="24"/>
        </w:rPr>
        <w:t>（</w:t>
      </w:r>
      <w:r>
        <w:rPr>
          <w:rFonts w:hint="eastAsia"/>
          <w:bCs/>
          <w:sz w:val="24"/>
          <w:szCs w:val="24"/>
        </w:rPr>
        <w:t>1+K</w:t>
      </w:r>
      <w:r>
        <w:rPr>
          <w:rFonts w:hint="eastAsia"/>
          <w:bCs/>
          <w:sz w:val="24"/>
          <w:szCs w:val="24"/>
        </w:rPr>
        <w:t>）</w:t>
      </w:r>
    </w:p>
    <w:p w14:paraId="3DBB4D8F" w14:textId="77777777" w:rsidR="00000000" w:rsidRDefault="00000000">
      <w:pPr>
        <w:spacing w:before="50" w:after="50" w:line="360" w:lineRule="auto"/>
        <w:ind w:firstLineChars="200" w:firstLine="480"/>
        <w:rPr>
          <w:bCs/>
          <w:sz w:val="24"/>
          <w:szCs w:val="24"/>
        </w:rPr>
      </w:pPr>
      <w:r>
        <w:rPr>
          <w:rFonts w:hint="eastAsia"/>
          <w:bCs/>
          <w:sz w:val="24"/>
          <w:szCs w:val="24"/>
        </w:rPr>
        <w:t>上述两项同时进行时，按如下公式调整：</w:t>
      </w:r>
      <w:r>
        <w:rPr>
          <w:rFonts w:hint="eastAsia"/>
          <w:bCs/>
          <w:sz w:val="24"/>
          <w:szCs w:val="24"/>
        </w:rPr>
        <w:t>P1=</w:t>
      </w:r>
      <w:r>
        <w:rPr>
          <w:rFonts w:hint="eastAsia"/>
          <w:bCs/>
          <w:sz w:val="24"/>
          <w:szCs w:val="24"/>
        </w:rPr>
        <w:t>（</w:t>
      </w:r>
      <w:r>
        <w:rPr>
          <w:rFonts w:hint="eastAsia"/>
          <w:bCs/>
          <w:sz w:val="24"/>
          <w:szCs w:val="24"/>
        </w:rPr>
        <w:t>P0+A</w:t>
      </w:r>
      <w:r>
        <w:rPr>
          <w:rFonts w:hint="eastAsia"/>
          <w:bCs/>
          <w:sz w:val="24"/>
          <w:szCs w:val="24"/>
        </w:rPr>
        <w:t>×</w:t>
      </w:r>
      <w:r>
        <w:rPr>
          <w:rFonts w:hint="eastAsia"/>
          <w:bCs/>
          <w:sz w:val="24"/>
          <w:szCs w:val="24"/>
        </w:rPr>
        <w:t>K</w:t>
      </w:r>
      <w:r>
        <w:rPr>
          <w:rFonts w:hint="eastAsia"/>
          <w:bCs/>
          <w:sz w:val="24"/>
          <w:szCs w:val="24"/>
        </w:rPr>
        <w:t>）</w:t>
      </w:r>
      <w:r>
        <w:rPr>
          <w:rFonts w:hint="eastAsia"/>
          <w:bCs/>
          <w:sz w:val="24"/>
          <w:szCs w:val="24"/>
        </w:rPr>
        <w:t>/</w:t>
      </w:r>
      <w:r>
        <w:rPr>
          <w:rFonts w:hint="eastAsia"/>
          <w:bCs/>
          <w:sz w:val="24"/>
          <w:szCs w:val="24"/>
        </w:rPr>
        <w:t>（</w:t>
      </w:r>
      <w:r>
        <w:rPr>
          <w:rFonts w:hint="eastAsia"/>
          <w:bCs/>
          <w:sz w:val="24"/>
          <w:szCs w:val="24"/>
        </w:rPr>
        <w:t>1+N+K</w:t>
      </w:r>
      <w:r>
        <w:rPr>
          <w:rFonts w:hint="eastAsia"/>
          <w:bCs/>
          <w:sz w:val="24"/>
          <w:szCs w:val="24"/>
        </w:rPr>
        <w:t>）</w:t>
      </w:r>
    </w:p>
    <w:p w14:paraId="559B44C2" w14:textId="77777777" w:rsidR="00000000" w:rsidRDefault="00000000">
      <w:pPr>
        <w:spacing w:before="50" w:after="50" w:line="360" w:lineRule="auto"/>
        <w:ind w:firstLineChars="200" w:firstLine="480"/>
        <w:rPr>
          <w:bCs/>
          <w:sz w:val="24"/>
          <w:szCs w:val="24"/>
        </w:rPr>
      </w:pPr>
      <w:r>
        <w:rPr>
          <w:rFonts w:hint="eastAsia"/>
          <w:bCs/>
          <w:sz w:val="24"/>
          <w:szCs w:val="24"/>
        </w:rPr>
        <w:lastRenderedPageBreak/>
        <w:t>当派发现金股利时，按如下公式调整：</w:t>
      </w:r>
      <w:r>
        <w:rPr>
          <w:rFonts w:hint="eastAsia"/>
          <w:bCs/>
          <w:sz w:val="24"/>
          <w:szCs w:val="24"/>
        </w:rPr>
        <w:t>P1=P0-D</w:t>
      </w:r>
    </w:p>
    <w:p w14:paraId="40A9B033" w14:textId="77777777" w:rsidR="00000000" w:rsidRDefault="00000000">
      <w:pPr>
        <w:spacing w:before="50" w:after="50" w:line="360" w:lineRule="auto"/>
        <w:ind w:firstLineChars="200" w:firstLine="480"/>
        <w:rPr>
          <w:bCs/>
          <w:sz w:val="24"/>
          <w:szCs w:val="24"/>
        </w:rPr>
      </w:pPr>
      <w:r>
        <w:rPr>
          <w:rFonts w:hint="eastAsia"/>
          <w:bCs/>
          <w:sz w:val="24"/>
          <w:szCs w:val="24"/>
        </w:rPr>
        <w:t>当上述三项同时进行时，按如下公式调整：</w:t>
      </w:r>
      <w:r>
        <w:rPr>
          <w:rFonts w:hint="eastAsia"/>
          <w:bCs/>
          <w:sz w:val="24"/>
          <w:szCs w:val="24"/>
        </w:rPr>
        <w:t>P1=</w:t>
      </w:r>
      <w:r>
        <w:rPr>
          <w:rFonts w:hint="eastAsia"/>
          <w:bCs/>
          <w:sz w:val="24"/>
          <w:szCs w:val="24"/>
        </w:rPr>
        <w:t>（</w:t>
      </w:r>
      <w:r>
        <w:rPr>
          <w:rFonts w:hint="eastAsia"/>
          <w:bCs/>
          <w:sz w:val="24"/>
          <w:szCs w:val="24"/>
        </w:rPr>
        <w:t>P0-D+A</w:t>
      </w:r>
      <w:r>
        <w:rPr>
          <w:rFonts w:hint="eastAsia"/>
          <w:bCs/>
          <w:sz w:val="24"/>
          <w:szCs w:val="24"/>
        </w:rPr>
        <w:t>×</w:t>
      </w:r>
      <w:r>
        <w:rPr>
          <w:rFonts w:hint="eastAsia"/>
          <w:bCs/>
          <w:sz w:val="24"/>
          <w:szCs w:val="24"/>
        </w:rPr>
        <w:t>K</w:t>
      </w:r>
      <w:r>
        <w:rPr>
          <w:rFonts w:hint="eastAsia"/>
          <w:bCs/>
          <w:sz w:val="24"/>
          <w:szCs w:val="24"/>
        </w:rPr>
        <w:t>）</w:t>
      </w:r>
      <w:r>
        <w:rPr>
          <w:rFonts w:hint="eastAsia"/>
          <w:bCs/>
          <w:sz w:val="24"/>
          <w:szCs w:val="24"/>
        </w:rPr>
        <w:t>/</w:t>
      </w:r>
      <w:r>
        <w:rPr>
          <w:rFonts w:hint="eastAsia"/>
          <w:bCs/>
          <w:sz w:val="24"/>
          <w:szCs w:val="24"/>
        </w:rPr>
        <w:t>（</w:t>
      </w:r>
      <w:r>
        <w:rPr>
          <w:rFonts w:hint="eastAsia"/>
          <w:bCs/>
          <w:sz w:val="24"/>
          <w:szCs w:val="24"/>
        </w:rPr>
        <w:t>1+N+K</w:t>
      </w:r>
      <w:r>
        <w:rPr>
          <w:rFonts w:hint="eastAsia"/>
          <w:bCs/>
          <w:sz w:val="24"/>
          <w:szCs w:val="24"/>
        </w:rPr>
        <w:t>）在定价基准日至目标股份上市日期间，若公司发生派发股利行为，如根据上述约定调整后的发行价格低于中广核技最近一期经审计的每股净资产值，则发行价格仍为</w:t>
      </w:r>
      <w:r>
        <w:rPr>
          <w:rFonts w:hint="eastAsia"/>
          <w:bCs/>
          <w:sz w:val="24"/>
          <w:szCs w:val="24"/>
        </w:rPr>
        <w:t>6</w:t>
      </w:r>
      <w:r>
        <w:rPr>
          <w:bCs/>
          <w:sz w:val="24"/>
          <w:szCs w:val="24"/>
        </w:rPr>
        <w:t>.69</w:t>
      </w:r>
      <w:r>
        <w:rPr>
          <w:rFonts w:hint="eastAsia"/>
          <w:bCs/>
          <w:sz w:val="24"/>
          <w:szCs w:val="24"/>
        </w:rPr>
        <w:t>元。在定价基准日至目标股份上市日期间，若公司发生送红股、转增股本或配股等除权行为，且根据上述约定调整后的发行价格低于按照届时公司变动后的股本总数计算出的最近一期经审计每股净资产值（以下简称“调整后的每股净资产值”），则发行价格为调整后的每股净资产值。</w:t>
      </w:r>
    </w:p>
    <w:p w14:paraId="48D979AE"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A1DEA4A"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8B2102B"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7223220D"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⑤</w:t>
      </w:r>
      <w:r>
        <w:rPr>
          <w:b/>
          <w:sz w:val="24"/>
          <w:szCs w:val="24"/>
        </w:rPr>
        <w:t>发行股份的上市地点</w:t>
      </w:r>
    </w:p>
    <w:p w14:paraId="48DE4428" w14:textId="77777777" w:rsidR="00000000" w:rsidRDefault="00000000">
      <w:pPr>
        <w:spacing w:before="50" w:after="50" w:line="360" w:lineRule="auto"/>
        <w:ind w:firstLineChars="200" w:firstLine="480"/>
        <w:rPr>
          <w:bCs/>
          <w:sz w:val="24"/>
          <w:szCs w:val="24"/>
        </w:rPr>
      </w:pPr>
      <w:r>
        <w:rPr>
          <w:bCs/>
          <w:sz w:val="24"/>
          <w:szCs w:val="24"/>
        </w:rPr>
        <w:t>本次募集配套资金发行的股份上市地点为深交所主板。</w:t>
      </w:r>
    </w:p>
    <w:p w14:paraId="11E9A10E"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4AD4467D"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CA11049"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59FAA96B"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⑥</w:t>
      </w:r>
      <w:r>
        <w:rPr>
          <w:b/>
          <w:sz w:val="24"/>
          <w:szCs w:val="24"/>
        </w:rPr>
        <w:t>募集资金用途</w:t>
      </w:r>
    </w:p>
    <w:p w14:paraId="0042531A" w14:textId="77777777" w:rsidR="00000000" w:rsidRDefault="00000000">
      <w:pPr>
        <w:spacing w:before="50" w:after="50" w:line="360" w:lineRule="auto"/>
        <w:ind w:firstLineChars="200" w:firstLine="480"/>
        <w:rPr>
          <w:bCs/>
          <w:sz w:val="24"/>
          <w:szCs w:val="24"/>
        </w:rPr>
      </w:pPr>
      <w:r>
        <w:rPr>
          <w:bCs/>
          <w:sz w:val="24"/>
          <w:szCs w:val="24"/>
        </w:rPr>
        <w:t>本次募集配套资金拟用于支付本次交易中的现金对价、交易税费及中介机构费用、补充公司流动资金</w:t>
      </w:r>
      <w:r>
        <w:rPr>
          <w:rFonts w:hint="eastAsia"/>
          <w:bCs/>
          <w:sz w:val="24"/>
          <w:szCs w:val="24"/>
        </w:rPr>
        <w:t>和</w:t>
      </w:r>
      <w:r>
        <w:rPr>
          <w:rFonts w:hint="eastAsia"/>
          <w:bCs/>
          <w:sz w:val="24"/>
          <w:szCs w:val="24"/>
        </w:rPr>
        <w:t>/</w:t>
      </w:r>
      <w:r>
        <w:rPr>
          <w:rFonts w:hint="eastAsia"/>
          <w:bCs/>
          <w:sz w:val="24"/>
          <w:szCs w:val="24"/>
        </w:rPr>
        <w:t>或偿还有息债务等，</w:t>
      </w:r>
      <w:r>
        <w:rPr>
          <w:bCs/>
          <w:sz w:val="24"/>
          <w:szCs w:val="24"/>
        </w:rPr>
        <w:t>具体如下：</w:t>
      </w:r>
    </w:p>
    <w:p w14:paraId="0B7ACF23" w14:textId="77777777" w:rsidR="00000000" w:rsidRDefault="00000000">
      <w:pPr>
        <w:jc w:val="right"/>
        <w:rPr>
          <w:color w:val="000000"/>
          <w:szCs w:val="21"/>
        </w:rPr>
      </w:pPr>
      <w:r>
        <w:rPr>
          <w:color w:val="000000"/>
          <w:szCs w:val="21"/>
        </w:rPr>
        <w:t>单位：万元</w:t>
      </w:r>
    </w:p>
    <w:tbl>
      <w:tblPr>
        <w:tblW w:w="500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2615"/>
        <w:gridCol w:w="2119"/>
      </w:tblGrid>
      <w:tr w:rsidR="00000000" w14:paraId="5ED46385" w14:textId="77777777">
        <w:trPr>
          <w:trHeight w:val="300"/>
        </w:trPr>
        <w:tc>
          <w:tcPr>
            <w:tcW w:w="2147" w:type="pct"/>
            <w:tcMar>
              <w:left w:w="105" w:type="dxa"/>
              <w:right w:w="105" w:type="dxa"/>
            </w:tcMar>
            <w:vAlign w:val="center"/>
          </w:tcPr>
          <w:p w14:paraId="01691829" w14:textId="77777777" w:rsidR="00000000" w:rsidRDefault="00000000">
            <w:pPr>
              <w:jc w:val="center"/>
              <w:rPr>
                <w:color w:val="000000"/>
                <w:szCs w:val="21"/>
              </w:rPr>
            </w:pPr>
            <w:r>
              <w:rPr>
                <w:b/>
                <w:bCs/>
                <w:color w:val="000000"/>
                <w:szCs w:val="21"/>
              </w:rPr>
              <w:t>项目名称</w:t>
            </w:r>
          </w:p>
        </w:tc>
        <w:tc>
          <w:tcPr>
            <w:tcW w:w="1576" w:type="pct"/>
            <w:tcMar>
              <w:left w:w="105" w:type="dxa"/>
              <w:right w:w="105" w:type="dxa"/>
            </w:tcMar>
            <w:vAlign w:val="center"/>
          </w:tcPr>
          <w:p w14:paraId="37D07F5A" w14:textId="77777777" w:rsidR="00000000" w:rsidRDefault="00000000">
            <w:pPr>
              <w:jc w:val="center"/>
              <w:rPr>
                <w:color w:val="000000"/>
                <w:szCs w:val="21"/>
              </w:rPr>
            </w:pPr>
            <w:r>
              <w:rPr>
                <w:b/>
                <w:bCs/>
                <w:color w:val="000000"/>
                <w:szCs w:val="21"/>
              </w:rPr>
              <w:t>拟使用募集资金金额</w:t>
            </w:r>
          </w:p>
        </w:tc>
        <w:tc>
          <w:tcPr>
            <w:tcW w:w="1277" w:type="pct"/>
            <w:tcMar>
              <w:left w:w="105" w:type="dxa"/>
              <w:right w:w="105" w:type="dxa"/>
            </w:tcMar>
            <w:vAlign w:val="center"/>
          </w:tcPr>
          <w:p w14:paraId="54B27F8F" w14:textId="77777777" w:rsidR="00000000" w:rsidRDefault="00000000">
            <w:pPr>
              <w:jc w:val="center"/>
              <w:rPr>
                <w:color w:val="000000"/>
                <w:szCs w:val="21"/>
              </w:rPr>
            </w:pPr>
            <w:r>
              <w:rPr>
                <w:b/>
                <w:bCs/>
                <w:color w:val="000000"/>
                <w:szCs w:val="21"/>
              </w:rPr>
              <w:t>使用金额占全部募集配套资金金额的比例</w:t>
            </w:r>
          </w:p>
        </w:tc>
      </w:tr>
      <w:tr w:rsidR="00000000" w14:paraId="2E0528E5" w14:textId="77777777">
        <w:trPr>
          <w:trHeight w:val="300"/>
        </w:trPr>
        <w:tc>
          <w:tcPr>
            <w:tcW w:w="2147" w:type="pct"/>
            <w:tcMar>
              <w:left w:w="105" w:type="dxa"/>
              <w:right w:w="105" w:type="dxa"/>
            </w:tcMar>
            <w:vAlign w:val="center"/>
          </w:tcPr>
          <w:p w14:paraId="14FAC59A" w14:textId="77777777" w:rsidR="00000000" w:rsidRDefault="00000000">
            <w:pPr>
              <w:jc w:val="center"/>
              <w:rPr>
                <w:color w:val="000000"/>
                <w:szCs w:val="21"/>
              </w:rPr>
            </w:pPr>
            <w:r>
              <w:rPr>
                <w:color w:val="000000"/>
                <w:szCs w:val="21"/>
              </w:rPr>
              <w:t>支付本次交易现金对价</w:t>
            </w:r>
          </w:p>
        </w:tc>
        <w:tc>
          <w:tcPr>
            <w:tcW w:w="1576" w:type="pct"/>
            <w:tcMar>
              <w:left w:w="105" w:type="dxa"/>
              <w:right w:w="105" w:type="dxa"/>
            </w:tcMar>
          </w:tcPr>
          <w:p w14:paraId="737B6814" w14:textId="77777777" w:rsidR="00000000" w:rsidRDefault="00000000">
            <w:pPr>
              <w:jc w:val="right"/>
              <w:rPr>
                <w:rFonts w:eastAsia="Times New Roman"/>
                <w:color w:val="000000"/>
                <w:szCs w:val="21"/>
              </w:rPr>
            </w:pPr>
            <w:r>
              <w:t>14,848.05</w:t>
            </w:r>
          </w:p>
        </w:tc>
        <w:tc>
          <w:tcPr>
            <w:tcW w:w="1277" w:type="pct"/>
            <w:tcMar>
              <w:left w:w="105" w:type="dxa"/>
              <w:right w:w="105" w:type="dxa"/>
            </w:tcMar>
          </w:tcPr>
          <w:p w14:paraId="6054BDE0" w14:textId="77777777" w:rsidR="00000000" w:rsidRDefault="00000000">
            <w:pPr>
              <w:jc w:val="right"/>
              <w:rPr>
                <w:rFonts w:eastAsia="Times New Roman"/>
                <w:color w:val="000000"/>
                <w:szCs w:val="21"/>
              </w:rPr>
            </w:pPr>
            <w:r>
              <w:t>49.49%</w:t>
            </w:r>
          </w:p>
        </w:tc>
      </w:tr>
      <w:tr w:rsidR="00000000" w14:paraId="2D642272" w14:textId="77777777">
        <w:trPr>
          <w:trHeight w:val="300"/>
        </w:trPr>
        <w:tc>
          <w:tcPr>
            <w:tcW w:w="2147" w:type="pct"/>
            <w:tcMar>
              <w:left w:w="105" w:type="dxa"/>
              <w:right w:w="105" w:type="dxa"/>
            </w:tcMar>
            <w:vAlign w:val="center"/>
          </w:tcPr>
          <w:p w14:paraId="16FEAFF6" w14:textId="77777777" w:rsidR="00000000" w:rsidRDefault="00000000">
            <w:pPr>
              <w:jc w:val="center"/>
              <w:rPr>
                <w:color w:val="000000"/>
                <w:szCs w:val="21"/>
              </w:rPr>
            </w:pPr>
            <w:r>
              <w:rPr>
                <w:color w:val="000000"/>
                <w:szCs w:val="21"/>
              </w:rPr>
              <w:t>支付交易税费</w:t>
            </w:r>
            <w:r>
              <w:rPr>
                <w:rFonts w:hint="eastAsia"/>
                <w:color w:val="000000"/>
                <w:szCs w:val="21"/>
              </w:rPr>
              <w:t>及</w:t>
            </w:r>
            <w:r>
              <w:rPr>
                <w:color w:val="000000"/>
                <w:szCs w:val="21"/>
              </w:rPr>
              <w:t>中介费用、补充流动资金和</w:t>
            </w:r>
            <w:r>
              <w:rPr>
                <w:rFonts w:eastAsia="Times New Roman"/>
                <w:color w:val="000000"/>
                <w:szCs w:val="21"/>
              </w:rPr>
              <w:t>/</w:t>
            </w:r>
            <w:r>
              <w:rPr>
                <w:color w:val="000000"/>
                <w:szCs w:val="21"/>
              </w:rPr>
              <w:t>或偿还有息债务等</w:t>
            </w:r>
          </w:p>
        </w:tc>
        <w:tc>
          <w:tcPr>
            <w:tcW w:w="1576" w:type="pct"/>
            <w:tcMar>
              <w:left w:w="105" w:type="dxa"/>
              <w:right w:w="105" w:type="dxa"/>
            </w:tcMar>
          </w:tcPr>
          <w:p w14:paraId="43B130E1" w14:textId="77777777" w:rsidR="00000000" w:rsidRDefault="00000000">
            <w:pPr>
              <w:jc w:val="right"/>
              <w:rPr>
                <w:rFonts w:eastAsia="Times New Roman"/>
                <w:color w:val="000000"/>
                <w:szCs w:val="21"/>
              </w:rPr>
            </w:pPr>
            <w:r>
              <w:t>15,151.95</w:t>
            </w:r>
          </w:p>
        </w:tc>
        <w:tc>
          <w:tcPr>
            <w:tcW w:w="1277" w:type="pct"/>
            <w:tcMar>
              <w:left w:w="105" w:type="dxa"/>
              <w:right w:w="105" w:type="dxa"/>
            </w:tcMar>
          </w:tcPr>
          <w:p w14:paraId="7FAD10A2" w14:textId="77777777" w:rsidR="00000000" w:rsidRDefault="00000000">
            <w:pPr>
              <w:jc w:val="right"/>
              <w:rPr>
                <w:rFonts w:eastAsia="Times New Roman"/>
                <w:color w:val="000000"/>
                <w:szCs w:val="21"/>
              </w:rPr>
            </w:pPr>
            <w:r>
              <w:t>50.51%</w:t>
            </w:r>
          </w:p>
        </w:tc>
      </w:tr>
      <w:tr w:rsidR="00000000" w14:paraId="1FE3B329" w14:textId="77777777">
        <w:trPr>
          <w:trHeight w:val="300"/>
        </w:trPr>
        <w:tc>
          <w:tcPr>
            <w:tcW w:w="2147" w:type="pct"/>
            <w:tcMar>
              <w:left w:w="105" w:type="dxa"/>
              <w:right w:w="105" w:type="dxa"/>
            </w:tcMar>
            <w:vAlign w:val="center"/>
          </w:tcPr>
          <w:p w14:paraId="758A322C" w14:textId="77777777" w:rsidR="00000000" w:rsidRDefault="00000000">
            <w:pPr>
              <w:jc w:val="center"/>
              <w:rPr>
                <w:color w:val="000000"/>
                <w:szCs w:val="21"/>
              </w:rPr>
            </w:pPr>
            <w:r>
              <w:rPr>
                <w:b/>
                <w:bCs/>
                <w:color w:val="000000"/>
                <w:szCs w:val="21"/>
              </w:rPr>
              <w:t>合计</w:t>
            </w:r>
          </w:p>
        </w:tc>
        <w:tc>
          <w:tcPr>
            <w:tcW w:w="1576" w:type="pct"/>
            <w:tcMar>
              <w:left w:w="105" w:type="dxa"/>
              <w:right w:w="105" w:type="dxa"/>
            </w:tcMar>
            <w:vAlign w:val="center"/>
          </w:tcPr>
          <w:p w14:paraId="51B3BC1E" w14:textId="77777777" w:rsidR="00000000" w:rsidRDefault="00000000">
            <w:pPr>
              <w:jc w:val="right"/>
              <w:rPr>
                <w:rFonts w:eastAsia="Times New Roman"/>
                <w:color w:val="000000"/>
                <w:szCs w:val="21"/>
              </w:rPr>
            </w:pPr>
            <w:r>
              <w:rPr>
                <w:rFonts w:eastAsia="Times New Roman"/>
                <w:b/>
                <w:bCs/>
                <w:color w:val="000000"/>
                <w:szCs w:val="21"/>
              </w:rPr>
              <w:t>30,000.00</w:t>
            </w:r>
          </w:p>
        </w:tc>
        <w:tc>
          <w:tcPr>
            <w:tcW w:w="1277" w:type="pct"/>
            <w:tcMar>
              <w:left w:w="105" w:type="dxa"/>
              <w:right w:w="105" w:type="dxa"/>
            </w:tcMar>
            <w:vAlign w:val="center"/>
          </w:tcPr>
          <w:p w14:paraId="7744A7BB" w14:textId="77777777" w:rsidR="00000000" w:rsidRDefault="00000000">
            <w:pPr>
              <w:jc w:val="right"/>
              <w:rPr>
                <w:rFonts w:eastAsia="Times New Roman"/>
                <w:color w:val="000000"/>
                <w:szCs w:val="21"/>
              </w:rPr>
            </w:pPr>
            <w:r>
              <w:rPr>
                <w:rFonts w:eastAsia="Times New Roman"/>
                <w:b/>
                <w:bCs/>
                <w:color w:val="000000"/>
                <w:szCs w:val="21"/>
              </w:rPr>
              <w:t>100.00%</w:t>
            </w:r>
          </w:p>
        </w:tc>
      </w:tr>
    </w:tbl>
    <w:p w14:paraId="7D5CFA0B" w14:textId="77777777" w:rsidR="00000000" w:rsidRDefault="00000000">
      <w:pPr>
        <w:spacing w:before="50" w:after="50" w:line="360" w:lineRule="auto"/>
        <w:ind w:firstLineChars="200" w:firstLine="480"/>
        <w:rPr>
          <w:bCs/>
          <w:sz w:val="24"/>
          <w:szCs w:val="24"/>
        </w:rPr>
      </w:pPr>
      <w:r>
        <w:rPr>
          <w:bCs/>
          <w:sz w:val="24"/>
          <w:szCs w:val="24"/>
        </w:rPr>
        <w:t>在上述募集资金投资项目的范围内，公司可根据项目的实际需求及资金需求，按照相关法律法规对上述项目的募集资金投入金额进行适当调整。</w:t>
      </w:r>
    </w:p>
    <w:p w14:paraId="72F16324" w14:textId="77777777" w:rsidR="00000000" w:rsidRDefault="00000000">
      <w:pPr>
        <w:spacing w:before="50" w:after="50" w:line="360" w:lineRule="auto"/>
        <w:ind w:firstLineChars="200" w:firstLine="480"/>
        <w:rPr>
          <w:bCs/>
          <w:sz w:val="24"/>
          <w:szCs w:val="24"/>
        </w:rPr>
      </w:pPr>
      <w:r>
        <w:rPr>
          <w:bCs/>
          <w:sz w:val="24"/>
          <w:szCs w:val="24"/>
        </w:rPr>
        <w:lastRenderedPageBreak/>
        <w:t>若证券监管机构的最新监管意见发生调整，则公司可根据相关证券监管机构的最新监管意见对本次募集配套资金相关事项进行相应调整</w:t>
      </w:r>
      <w:r>
        <w:rPr>
          <w:rFonts w:hint="eastAsia"/>
          <w:bCs/>
          <w:sz w:val="24"/>
          <w:szCs w:val="24"/>
        </w:rPr>
        <w:t>。</w:t>
      </w:r>
    </w:p>
    <w:p w14:paraId="317552B1"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7CF21874"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6EA11745"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35069918"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⑦</w:t>
      </w:r>
      <w:r>
        <w:rPr>
          <w:b/>
          <w:sz w:val="24"/>
          <w:szCs w:val="24"/>
        </w:rPr>
        <w:t>关于滚存未分配利润的安排</w:t>
      </w:r>
    </w:p>
    <w:p w14:paraId="592BFE44" w14:textId="77777777" w:rsidR="00000000" w:rsidRDefault="00000000">
      <w:pPr>
        <w:spacing w:before="50" w:after="50" w:line="360" w:lineRule="auto"/>
        <w:ind w:firstLineChars="200" w:firstLine="480"/>
        <w:rPr>
          <w:bCs/>
          <w:sz w:val="24"/>
          <w:szCs w:val="24"/>
        </w:rPr>
      </w:pPr>
      <w:r>
        <w:rPr>
          <w:bCs/>
          <w:sz w:val="24"/>
          <w:szCs w:val="24"/>
        </w:rPr>
        <w:t>公司于本次发行完成前的滚存未分配利润由本次发行完成后公司的新老股东按照发行后的股份比例享有。</w:t>
      </w:r>
    </w:p>
    <w:p w14:paraId="07C65AA9"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F90C4B5"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FD74040"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0FC8B1B1" w14:textId="77777777" w:rsidR="00000000" w:rsidRDefault="00000000">
      <w:pPr>
        <w:spacing w:before="50" w:after="50" w:line="360" w:lineRule="auto"/>
        <w:ind w:firstLineChars="200" w:firstLine="482"/>
        <w:rPr>
          <w:b/>
          <w:sz w:val="24"/>
          <w:szCs w:val="24"/>
        </w:rPr>
      </w:pPr>
      <w:r>
        <w:rPr>
          <w:rFonts w:ascii="宋体" w:hAnsi="宋体" w:hint="eastAsia"/>
          <w:b/>
          <w:sz w:val="24"/>
          <w:szCs w:val="24"/>
        </w:rPr>
        <w:t>⑧</w:t>
      </w:r>
      <w:r>
        <w:rPr>
          <w:b/>
          <w:sz w:val="24"/>
          <w:szCs w:val="24"/>
        </w:rPr>
        <w:t>股份限售期</w:t>
      </w:r>
    </w:p>
    <w:p w14:paraId="21558FFF" w14:textId="77777777" w:rsidR="00000000" w:rsidRDefault="00000000">
      <w:pPr>
        <w:spacing w:before="50" w:after="50" w:line="360" w:lineRule="auto"/>
        <w:ind w:firstLineChars="200" w:firstLine="480"/>
        <w:rPr>
          <w:bCs/>
          <w:sz w:val="24"/>
          <w:szCs w:val="24"/>
        </w:rPr>
      </w:pPr>
      <w:r>
        <w:rPr>
          <w:bCs/>
          <w:sz w:val="24"/>
          <w:szCs w:val="24"/>
        </w:rPr>
        <w:t>核技术公司因认购本次募集配套资金发行的股票自该等股份</w:t>
      </w:r>
      <w:r>
        <w:rPr>
          <w:rFonts w:hint="eastAsia"/>
          <w:bCs/>
          <w:sz w:val="24"/>
          <w:szCs w:val="24"/>
        </w:rPr>
        <w:t>发行结束之日</w:t>
      </w:r>
      <w:r>
        <w:rPr>
          <w:bCs/>
          <w:sz w:val="24"/>
          <w:szCs w:val="24"/>
        </w:rPr>
        <w:t>起三十六个月（</w:t>
      </w:r>
      <w:r>
        <w:rPr>
          <w:bCs/>
          <w:sz w:val="24"/>
          <w:szCs w:val="24"/>
        </w:rPr>
        <w:t>36</w:t>
      </w:r>
      <w:r>
        <w:rPr>
          <w:bCs/>
          <w:sz w:val="24"/>
          <w:szCs w:val="24"/>
        </w:rPr>
        <w:t>）内不得转让。</w:t>
      </w:r>
    </w:p>
    <w:p w14:paraId="6A81E20E" w14:textId="77777777" w:rsidR="00000000" w:rsidRDefault="00000000">
      <w:pPr>
        <w:spacing w:before="50" w:after="50" w:line="360" w:lineRule="auto"/>
        <w:ind w:firstLineChars="200" w:firstLine="480"/>
        <w:rPr>
          <w:bCs/>
          <w:sz w:val="24"/>
          <w:szCs w:val="24"/>
        </w:rPr>
      </w:pPr>
      <w:r>
        <w:rPr>
          <w:bCs/>
          <w:sz w:val="24"/>
          <w:szCs w:val="24"/>
        </w:rPr>
        <w:t>在上述股份锁定期内，因中广核技配股、送红股、转增股本等原因增持的部分，亦应遵守上述股份锁定安排；</w:t>
      </w:r>
    </w:p>
    <w:p w14:paraId="13CA2AAD" w14:textId="77777777" w:rsidR="00000000" w:rsidRDefault="00000000">
      <w:pPr>
        <w:spacing w:before="50" w:after="50" w:line="360" w:lineRule="auto"/>
        <w:ind w:firstLineChars="200" w:firstLine="480"/>
        <w:rPr>
          <w:bCs/>
          <w:sz w:val="24"/>
          <w:szCs w:val="24"/>
        </w:rPr>
      </w:pPr>
      <w:r>
        <w:rPr>
          <w:bCs/>
          <w:sz w:val="24"/>
          <w:szCs w:val="24"/>
        </w:rPr>
        <w:t>如前述股份锁定期安排与现行有效的法律法规及证券监管机构的最新监管意见不相符，</w:t>
      </w:r>
      <w:r>
        <w:rPr>
          <w:rFonts w:hint="eastAsia"/>
          <w:bCs/>
          <w:sz w:val="24"/>
          <w:szCs w:val="24"/>
        </w:rPr>
        <w:t>核技术公司</w:t>
      </w:r>
      <w:r>
        <w:rPr>
          <w:bCs/>
          <w:sz w:val="24"/>
          <w:szCs w:val="24"/>
        </w:rPr>
        <w:t>同意根据现行有效的法律法规及证券监管机构的监管意见进行相应调整</w:t>
      </w:r>
      <w:r>
        <w:rPr>
          <w:rFonts w:hint="eastAsia"/>
          <w:bCs/>
          <w:sz w:val="24"/>
          <w:szCs w:val="24"/>
        </w:rPr>
        <w:t>。</w:t>
      </w:r>
    </w:p>
    <w:p w14:paraId="4DD3DE6D"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5408E28C"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73E804B9"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270A34AE" w14:textId="77777777" w:rsidR="00000000" w:rsidRDefault="00000000">
      <w:pPr>
        <w:numPr>
          <w:ilvl w:val="0"/>
          <w:numId w:val="2"/>
        </w:numPr>
        <w:tabs>
          <w:tab w:val="left" w:pos="851"/>
          <w:tab w:val="left" w:pos="993"/>
        </w:tabs>
        <w:spacing w:beforeLines="50" w:before="156" w:afterLines="50" w:after="156" w:line="360" w:lineRule="auto"/>
        <w:ind w:left="0" w:firstLineChars="200" w:firstLine="482"/>
        <w:rPr>
          <w:b/>
          <w:bCs/>
          <w:color w:val="000000"/>
          <w:sz w:val="24"/>
        </w:rPr>
      </w:pPr>
      <w:r>
        <w:rPr>
          <w:b/>
          <w:bCs/>
          <w:color w:val="000000"/>
          <w:sz w:val="24"/>
        </w:rPr>
        <w:t>标的资产办理权属转移的合同义务和违约责任</w:t>
      </w:r>
    </w:p>
    <w:p w14:paraId="4D93BA45" w14:textId="77777777" w:rsidR="00000000" w:rsidRDefault="00000000">
      <w:pPr>
        <w:spacing w:before="50" w:after="50" w:line="360" w:lineRule="auto"/>
        <w:ind w:firstLineChars="200" w:firstLine="480"/>
        <w:rPr>
          <w:bCs/>
          <w:sz w:val="24"/>
          <w:szCs w:val="24"/>
        </w:rPr>
      </w:pPr>
      <w:r>
        <w:rPr>
          <w:rFonts w:hint="eastAsia"/>
          <w:bCs/>
          <w:sz w:val="24"/>
          <w:szCs w:val="24"/>
        </w:rPr>
        <w:lastRenderedPageBreak/>
        <w:t>在《重组协议》生效之日起的</w:t>
      </w:r>
      <w:r>
        <w:rPr>
          <w:bCs/>
          <w:sz w:val="24"/>
          <w:szCs w:val="24"/>
        </w:rPr>
        <w:t>60</w:t>
      </w:r>
      <w:r>
        <w:rPr>
          <w:rFonts w:hint="eastAsia"/>
          <w:bCs/>
          <w:sz w:val="24"/>
          <w:szCs w:val="24"/>
        </w:rPr>
        <w:t>日内或交易各方书面认可的其他期间内，核技术公司、云科通应当将持有贝谷科技的股权经工商登记管理机关登记程序登记至公司名下，并促使贝谷科技根据本次交易的协议、修改后的公司章程及董事、监事、高级管理人员变更情况，向工商登记管理机关办理完毕备案手续。交易对方若未能履行上述合同义务，将根据《重组协议》约定的比例向公司支付违约金。</w:t>
      </w:r>
    </w:p>
    <w:p w14:paraId="375DD8B6"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264F8A52"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547A3B36"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703E7522" w14:textId="77777777" w:rsidR="00000000" w:rsidRDefault="00000000">
      <w:pPr>
        <w:numPr>
          <w:ilvl w:val="0"/>
          <w:numId w:val="2"/>
        </w:numPr>
        <w:spacing w:before="50" w:after="50" w:line="360" w:lineRule="auto"/>
        <w:rPr>
          <w:b/>
          <w:bCs/>
          <w:color w:val="000000"/>
          <w:sz w:val="24"/>
        </w:rPr>
      </w:pPr>
      <w:r>
        <w:rPr>
          <w:b/>
          <w:bCs/>
          <w:color w:val="000000"/>
          <w:sz w:val="24"/>
        </w:rPr>
        <w:t>与标的资产有关的人员安排</w:t>
      </w:r>
    </w:p>
    <w:p w14:paraId="2720967C" w14:textId="77777777" w:rsidR="00000000" w:rsidRDefault="00000000">
      <w:pPr>
        <w:spacing w:before="50" w:after="50" w:line="360" w:lineRule="auto"/>
        <w:ind w:firstLineChars="200" w:firstLine="480"/>
        <w:rPr>
          <w:bCs/>
          <w:sz w:val="24"/>
          <w:szCs w:val="24"/>
        </w:rPr>
      </w:pPr>
      <w:r>
        <w:rPr>
          <w:bCs/>
          <w:sz w:val="24"/>
          <w:szCs w:val="24"/>
        </w:rPr>
        <w:t>本次发行股份</w:t>
      </w:r>
      <w:r>
        <w:rPr>
          <w:rFonts w:hint="eastAsia"/>
          <w:bCs/>
          <w:sz w:val="24"/>
          <w:szCs w:val="24"/>
        </w:rPr>
        <w:t>及支付现金</w:t>
      </w:r>
      <w:r>
        <w:rPr>
          <w:bCs/>
          <w:sz w:val="24"/>
          <w:szCs w:val="24"/>
        </w:rPr>
        <w:t>购买的标的资产为</w:t>
      </w:r>
      <w:r>
        <w:rPr>
          <w:rFonts w:hint="eastAsia"/>
          <w:bCs/>
          <w:sz w:val="24"/>
          <w:szCs w:val="24"/>
        </w:rPr>
        <w:t>贝谷科技</w:t>
      </w:r>
      <w:r>
        <w:rPr>
          <w:bCs/>
          <w:sz w:val="24"/>
          <w:szCs w:val="24"/>
        </w:rPr>
        <w:t>股权，不涉及职工安置和员工劳动关系调整，</w:t>
      </w:r>
      <w:r>
        <w:rPr>
          <w:rFonts w:hint="eastAsia"/>
          <w:bCs/>
          <w:sz w:val="24"/>
          <w:szCs w:val="24"/>
        </w:rPr>
        <w:t>贝谷科技</w:t>
      </w:r>
      <w:r>
        <w:rPr>
          <w:bCs/>
          <w:sz w:val="24"/>
          <w:szCs w:val="24"/>
        </w:rPr>
        <w:t>员工劳动关系并不因本次交易而发生改变。</w:t>
      </w:r>
    </w:p>
    <w:p w14:paraId="2839D3B6"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4D7BBD97"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F2526D8" w14:textId="77777777" w:rsidR="00000000" w:rsidRDefault="00000000">
      <w:pPr>
        <w:spacing w:before="50" w:after="50" w:line="360" w:lineRule="auto"/>
        <w:ind w:firstLineChars="200" w:firstLine="480"/>
        <w:rPr>
          <w:rFonts w:hint="eastAsia"/>
          <w:bCs/>
          <w:sz w:val="24"/>
          <w:szCs w:val="24"/>
        </w:rPr>
      </w:pPr>
      <w:r>
        <w:rPr>
          <w:bCs/>
          <w:sz w:val="24"/>
          <w:szCs w:val="24"/>
        </w:rPr>
        <w:t>表决结果：通过。</w:t>
      </w:r>
    </w:p>
    <w:p w14:paraId="6F4FEFE7" w14:textId="77777777" w:rsidR="00000000" w:rsidRDefault="00000000">
      <w:pPr>
        <w:numPr>
          <w:ilvl w:val="0"/>
          <w:numId w:val="2"/>
        </w:numPr>
        <w:spacing w:before="50" w:after="50" w:line="360" w:lineRule="auto"/>
        <w:rPr>
          <w:b/>
          <w:bCs/>
          <w:color w:val="000000"/>
          <w:sz w:val="24"/>
        </w:rPr>
      </w:pPr>
      <w:r>
        <w:rPr>
          <w:b/>
          <w:bCs/>
          <w:color w:val="000000"/>
          <w:sz w:val="24"/>
        </w:rPr>
        <w:t>决议的有效期</w:t>
      </w:r>
    </w:p>
    <w:p w14:paraId="68B35D0A" w14:textId="77777777" w:rsidR="00000000" w:rsidRDefault="00000000">
      <w:pPr>
        <w:spacing w:before="50" w:after="50" w:line="360" w:lineRule="auto"/>
        <w:ind w:firstLineChars="200" w:firstLine="480"/>
        <w:rPr>
          <w:bCs/>
          <w:sz w:val="24"/>
          <w:szCs w:val="24"/>
        </w:rPr>
      </w:pPr>
      <w:r>
        <w:rPr>
          <w:bCs/>
          <w:sz w:val="24"/>
          <w:szCs w:val="24"/>
        </w:rPr>
        <w:t>本次交易的决议有效期为自公司股东大会审议通过本次交易事项之日起</w:t>
      </w:r>
      <w:r>
        <w:rPr>
          <w:bCs/>
          <w:sz w:val="24"/>
          <w:szCs w:val="24"/>
        </w:rPr>
        <w:t>12</w:t>
      </w:r>
      <w:r>
        <w:rPr>
          <w:bCs/>
          <w:sz w:val="24"/>
          <w:szCs w:val="24"/>
        </w:rPr>
        <w:t>个月。如果公司于该有效期内取得中国证监会对本次交易的</w:t>
      </w:r>
      <w:r>
        <w:rPr>
          <w:rFonts w:hint="eastAsia"/>
          <w:bCs/>
          <w:sz w:val="24"/>
          <w:szCs w:val="24"/>
        </w:rPr>
        <w:t>注册</w:t>
      </w:r>
      <w:r>
        <w:rPr>
          <w:bCs/>
          <w:sz w:val="24"/>
          <w:szCs w:val="24"/>
        </w:rPr>
        <w:t>文件，则该有效期自动延长至本次交易完成日。</w:t>
      </w:r>
    </w:p>
    <w:p w14:paraId="440526AB" w14:textId="77777777" w:rsidR="00000000" w:rsidRDefault="00000000">
      <w:pPr>
        <w:spacing w:before="50" w:after="50" w:line="360" w:lineRule="auto"/>
        <w:ind w:firstLineChars="200" w:firstLine="480"/>
        <w:rPr>
          <w:bCs/>
          <w:sz w:val="24"/>
          <w:szCs w:val="24"/>
        </w:rPr>
      </w:pPr>
      <w:r>
        <w:rPr>
          <w:bCs/>
          <w:sz w:val="24"/>
          <w:szCs w:val="24"/>
        </w:rPr>
        <w:t>本项子议案涉及关联交易。关联董事李勇、盛国福、陈新国、文志涛已回避表决，其他非关联董事同意本议案。</w:t>
      </w:r>
    </w:p>
    <w:p w14:paraId="14A94664"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3CFE1CC1" w14:textId="77777777" w:rsidR="00000000" w:rsidRDefault="00000000">
      <w:pPr>
        <w:spacing w:before="50" w:after="50" w:line="360" w:lineRule="auto"/>
        <w:ind w:firstLineChars="200" w:firstLine="480"/>
        <w:rPr>
          <w:bCs/>
          <w:sz w:val="24"/>
          <w:szCs w:val="24"/>
        </w:rPr>
      </w:pPr>
      <w:r>
        <w:rPr>
          <w:bCs/>
          <w:sz w:val="24"/>
          <w:szCs w:val="24"/>
        </w:rPr>
        <w:t>表决结果：通过。</w:t>
      </w:r>
    </w:p>
    <w:p w14:paraId="7BA1FB51" w14:textId="77777777" w:rsidR="00000000" w:rsidRDefault="00000000">
      <w:pPr>
        <w:spacing w:before="50" w:after="50" w:line="360" w:lineRule="auto"/>
        <w:ind w:firstLineChars="200" w:firstLine="480"/>
        <w:rPr>
          <w:rFonts w:hint="eastAsia"/>
          <w:bCs/>
          <w:sz w:val="24"/>
          <w:szCs w:val="24"/>
        </w:rPr>
      </w:pPr>
      <w:r>
        <w:rPr>
          <w:sz w:val="24"/>
          <w:szCs w:val="24"/>
        </w:rPr>
        <w:t>本议案需提交公司股东大会审议。</w:t>
      </w:r>
    </w:p>
    <w:p w14:paraId="10333F26" w14:textId="77777777" w:rsidR="00000000" w:rsidRDefault="00000000">
      <w:pPr>
        <w:spacing w:before="50" w:after="50" w:line="360" w:lineRule="auto"/>
        <w:ind w:firstLineChars="200" w:firstLine="482"/>
        <w:rPr>
          <w:b/>
          <w:sz w:val="24"/>
          <w:szCs w:val="24"/>
        </w:rPr>
      </w:pPr>
      <w:r>
        <w:rPr>
          <w:b/>
          <w:sz w:val="24"/>
          <w:szCs w:val="24"/>
        </w:rPr>
        <w:t>（</w:t>
      </w:r>
      <w:r>
        <w:rPr>
          <w:rFonts w:hint="eastAsia"/>
          <w:b/>
          <w:sz w:val="24"/>
          <w:szCs w:val="24"/>
        </w:rPr>
        <w:t>五</w:t>
      </w:r>
      <w:r>
        <w:rPr>
          <w:b/>
          <w:sz w:val="24"/>
          <w:szCs w:val="24"/>
        </w:rPr>
        <w:t>）审议通过《</w:t>
      </w:r>
      <w:r>
        <w:rPr>
          <w:rFonts w:hint="eastAsia"/>
          <w:b/>
          <w:sz w:val="24"/>
          <w:szCs w:val="24"/>
        </w:rPr>
        <w:t>关于公司发行股份及支付现金购买资产并募集配套资金暨</w:t>
      </w:r>
      <w:r>
        <w:rPr>
          <w:rFonts w:hint="eastAsia"/>
          <w:b/>
          <w:sz w:val="24"/>
          <w:szCs w:val="24"/>
        </w:rPr>
        <w:lastRenderedPageBreak/>
        <w:t>关联交易不构成重大资产重组及本次交易不构成重组上市的议案</w:t>
      </w:r>
      <w:r>
        <w:rPr>
          <w:b/>
          <w:sz w:val="24"/>
          <w:szCs w:val="24"/>
        </w:rPr>
        <w:t>》</w:t>
      </w:r>
    </w:p>
    <w:p w14:paraId="190A5DDD" w14:textId="77777777" w:rsidR="00000000" w:rsidRDefault="00000000">
      <w:pPr>
        <w:spacing w:before="50" w:after="50" w:line="360" w:lineRule="auto"/>
        <w:ind w:firstLineChars="200" w:firstLine="480"/>
        <w:jc w:val="left"/>
        <w:rPr>
          <w:bCs/>
          <w:sz w:val="24"/>
          <w:szCs w:val="24"/>
        </w:rPr>
      </w:pPr>
      <w:r>
        <w:rPr>
          <w:bCs/>
          <w:sz w:val="24"/>
          <w:szCs w:val="24"/>
        </w:rPr>
        <w:t>公司本次交易不构成重大资产重组及本次交易不构成重组上市，具体内容详见与本公告同日发布的《董事会关于本次交易不构成重大资产重组及</w:t>
      </w:r>
      <w:r>
        <w:rPr>
          <w:bCs/>
          <w:sz w:val="24"/>
          <w:szCs w:val="24"/>
        </w:rPr>
        <w:t>&lt;</w:t>
      </w:r>
      <w:r>
        <w:rPr>
          <w:bCs/>
          <w:sz w:val="24"/>
          <w:szCs w:val="24"/>
        </w:rPr>
        <w:t>上市公司重大资产重组管理办法</w:t>
      </w:r>
      <w:r>
        <w:rPr>
          <w:bCs/>
          <w:sz w:val="24"/>
          <w:szCs w:val="24"/>
        </w:rPr>
        <w:t>&gt;</w:t>
      </w:r>
      <w:r>
        <w:rPr>
          <w:bCs/>
          <w:sz w:val="24"/>
          <w:szCs w:val="24"/>
        </w:rPr>
        <w:t>第十三条规定的重组上市情形的说明》。</w:t>
      </w:r>
    </w:p>
    <w:p w14:paraId="3DBF9E95" w14:textId="77777777" w:rsidR="00000000" w:rsidRDefault="00000000">
      <w:pPr>
        <w:spacing w:before="50" w:after="50" w:line="360" w:lineRule="auto"/>
        <w:ind w:firstLineChars="200" w:firstLine="480"/>
        <w:jc w:val="left"/>
        <w:rPr>
          <w:bCs/>
          <w:sz w:val="24"/>
          <w:szCs w:val="24"/>
        </w:rPr>
      </w:pPr>
      <w:r>
        <w:rPr>
          <w:bCs/>
          <w:sz w:val="24"/>
          <w:szCs w:val="24"/>
        </w:rPr>
        <w:t>本议案涉及关联交易。关联董事李勇、盛国福、陈新国、文志涛已回避表决，其他非关联董事同意本议案。</w:t>
      </w:r>
    </w:p>
    <w:p w14:paraId="7B3395EA"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050B1F68" w14:textId="77777777" w:rsidR="00000000" w:rsidRDefault="00000000">
      <w:pPr>
        <w:spacing w:before="50" w:after="50" w:line="360" w:lineRule="auto"/>
        <w:ind w:firstLineChars="200" w:firstLine="480"/>
        <w:rPr>
          <w:bCs/>
          <w:sz w:val="24"/>
          <w:szCs w:val="24"/>
        </w:rPr>
      </w:pPr>
      <w:r>
        <w:rPr>
          <w:bCs/>
          <w:sz w:val="24"/>
          <w:szCs w:val="24"/>
        </w:rPr>
        <w:t>表决结果：通过。</w:t>
      </w:r>
    </w:p>
    <w:p w14:paraId="16C093C1" w14:textId="77777777" w:rsidR="00000000" w:rsidRDefault="00000000">
      <w:pPr>
        <w:spacing w:line="360" w:lineRule="auto"/>
        <w:ind w:firstLineChars="200" w:firstLine="480"/>
        <w:rPr>
          <w:sz w:val="24"/>
          <w:szCs w:val="24"/>
        </w:rPr>
      </w:pPr>
      <w:r>
        <w:rPr>
          <w:sz w:val="24"/>
          <w:szCs w:val="24"/>
        </w:rPr>
        <w:t>本议案需提交公司股东大会审议。</w:t>
      </w:r>
    </w:p>
    <w:p w14:paraId="74F104B7" w14:textId="77777777" w:rsidR="00000000" w:rsidRDefault="00000000">
      <w:pPr>
        <w:spacing w:before="50" w:after="50" w:line="360" w:lineRule="auto"/>
        <w:ind w:firstLineChars="200" w:firstLine="482"/>
        <w:rPr>
          <w:b/>
          <w:sz w:val="24"/>
          <w:szCs w:val="24"/>
        </w:rPr>
      </w:pPr>
      <w:r>
        <w:rPr>
          <w:b/>
          <w:sz w:val="24"/>
          <w:szCs w:val="24"/>
        </w:rPr>
        <w:t>（</w:t>
      </w:r>
      <w:r>
        <w:rPr>
          <w:rFonts w:hint="eastAsia"/>
          <w:b/>
          <w:sz w:val="24"/>
          <w:szCs w:val="24"/>
        </w:rPr>
        <w:t>六</w:t>
      </w:r>
      <w:r>
        <w:rPr>
          <w:b/>
          <w:sz w:val="24"/>
          <w:szCs w:val="24"/>
        </w:rPr>
        <w:t>）审议通过《</w:t>
      </w:r>
      <w:r>
        <w:rPr>
          <w:rFonts w:hint="eastAsia"/>
          <w:b/>
          <w:sz w:val="24"/>
          <w:szCs w:val="24"/>
        </w:rPr>
        <w:t>关于本次交易构成关联交易的议案</w:t>
      </w:r>
      <w:r>
        <w:rPr>
          <w:b/>
          <w:sz w:val="24"/>
          <w:szCs w:val="24"/>
        </w:rPr>
        <w:t>》</w:t>
      </w:r>
    </w:p>
    <w:p w14:paraId="5D4EC3C2" w14:textId="77777777" w:rsidR="00000000" w:rsidRDefault="00000000">
      <w:pPr>
        <w:spacing w:line="360" w:lineRule="auto"/>
        <w:ind w:firstLineChars="200" w:firstLine="480"/>
        <w:rPr>
          <w:sz w:val="24"/>
        </w:rPr>
      </w:pPr>
      <w:r>
        <w:rPr>
          <w:rFonts w:hint="eastAsia"/>
          <w:sz w:val="24"/>
        </w:rPr>
        <w:t>本次交易</w:t>
      </w:r>
      <w:bookmarkStart w:id="8" w:name="_Hlk131082965"/>
      <w:r>
        <w:rPr>
          <w:rFonts w:hint="eastAsia"/>
          <w:sz w:val="24"/>
        </w:rPr>
        <w:t>的交易对方之一为上市公司的控股股东核技术公司</w:t>
      </w:r>
      <w:bookmarkEnd w:id="8"/>
      <w:r>
        <w:rPr>
          <w:rFonts w:hint="eastAsia"/>
          <w:sz w:val="24"/>
        </w:rPr>
        <w:t>。</w:t>
      </w:r>
      <w:bookmarkStart w:id="9" w:name="_Hlk131082983"/>
      <w:r>
        <w:rPr>
          <w:rFonts w:hint="eastAsia"/>
          <w:sz w:val="24"/>
        </w:rPr>
        <w:t>根据《深圳证券交易所股票上市规则》规定，本次交易构成关联交易</w:t>
      </w:r>
      <w:bookmarkEnd w:id="9"/>
      <w:r>
        <w:rPr>
          <w:rFonts w:hint="eastAsia"/>
          <w:sz w:val="24"/>
        </w:rPr>
        <w:t>。</w:t>
      </w:r>
    </w:p>
    <w:p w14:paraId="31B8DD3E"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1C0C5F5A"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21B2D2A5" w14:textId="77777777" w:rsidR="00000000" w:rsidRDefault="00000000">
      <w:pPr>
        <w:spacing w:before="50" w:after="50" w:line="360" w:lineRule="auto"/>
        <w:ind w:firstLineChars="200" w:firstLine="480"/>
        <w:rPr>
          <w:bCs/>
          <w:sz w:val="24"/>
          <w:szCs w:val="24"/>
        </w:rPr>
      </w:pPr>
      <w:r>
        <w:rPr>
          <w:bCs/>
          <w:sz w:val="24"/>
          <w:szCs w:val="24"/>
        </w:rPr>
        <w:t>表决结果：通过。</w:t>
      </w:r>
    </w:p>
    <w:p w14:paraId="6447BA56" w14:textId="77777777" w:rsidR="00000000" w:rsidRDefault="00000000">
      <w:pPr>
        <w:spacing w:before="50" w:after="50" w:line="360" w:lineRule="auto"/>
        <w:ind w:firstLineChars="200" w:firstLine="480"/>
        <w:rPr>
          <w:bCs/>
          <w:sz w:val="24"/>
          <w:szCs w:val="24"/>
        </w:rPr>
      </w:pPr>
      <w:r>
        <w:rPr>
          <w:bCs/>
          <w:sz w:val="24"/>
          <w:szCs w:val="24"/>
        </w:rPr>
        <w:t>本议案需提交公司股东大会审议。</w:t>
      </w:r>
    </w:p>
    <w:p w14:paraId="2EC47080" w14:textId="77777777" w:rsidR="00000000" w:rsidRDefault="00000000">
      <w:pPr>
        <w:spacing w:line="360" w:lineRule="auto"/>
        <w:ind w:firstLineChars="200" w:firstLine="482"/>
        <w:rPr>
          <w:b/>
          <w:bCs/>
          <w:sz w:val="24"/>
          <w:szCs w:val="24"/>
        </w:rPr>
      </w:pPr>
      <w:r>
        <w:rPr>
          <w:b/>
          <w:bCs/>
          <w:sz w:val="24"/>
          <w:szCs w:val="24"/>
        </w:rPr>
        <w:t>（</w:t>
      </w:r>
      <w:r>
        <w:rPr>
          <w:rFonts w:hint="eastAsia"/>
          <w:b/>
          <w:bCs/>
          <w:sz w:val="24"/>
          <w:szCs w:val="24"/>
        </w:rPr>
        <w:t>七</w:t>
      </w:r>
      <w:r>
        <w:rPr>
          <w:b/>
          <w:bCs/>
          <w:sz w:val="24"/>
          <w:szCs w:val="24"/>
        </w:rPr>
        <w:t>）审议通过《</w:t>
      </w:r>
      <w:r>
        <w:rPr>
          <w:rFonts w:hint="eastAsia"/>
          <w:b/>
          <w:bCs/>
          <w:sz w:val="24"/>
          <w:szCs w:val="24"/>
        </w:rPr>
        <w:t>关于提请股东大会批准中广核核技术应用有限公司及其一致行动人免于发出要约的议案</w:t>
      </w:r>
      <w:r>
        <w:rPr>
          <w:b/>
          <w:bCs/>
          <w:sz w:val="24"/>
          <w:szCs w:val="24"/>
        </w:rPr>
        <w:t>》</w:t>
      </w:r>
    </w:p>
    <w:p w14:paraId="411CB09F" w14:textId="77777777" w:rsidR="00000000" w:rsidRDefault="00000000">
      <w:pPr>
        <w:spacing w:before="50" w:after="50" w:line="360" w:lineRule="auto"/>
        <w:ind w:firstLineChars="200" w:firstLine="480"/>
        <w:rPr>
          <w:bCs/>
          <w:sz w:val="24"/>
          <w:szCs w:val="24"/>
        </w:rPr>
      </w:pPr>
      <w:r>
        <w:rPr>
          <w:rFonts w:hint="eastAsia"/>
          <w:bCs/>
          <w:sz w:val="24"/>
          <w:szCs w:val="24"/>
        </w:rPr>
        <w:t>本次交易前，公司控股股东核技术公司及其一致行动人中广核资本控股有限公司（以下简称“中广核资本”）合计持有上市公司</w:t>
      </w:r>
      <w:r>
        <w:rPr>
          <w:bCs/>
          <w:sz w:val="24"/>
          <w:szCs w:val="24"/>
        </w:rPr>
        <w:t>28.61%</w:t>
      </w:r>
      <w:r>
        <w:rPr>
          <w:rFonts w:hint="eastAsia"/>
          <w:bCs/>
          <w:sz w:val="24"/>
          <w:szCs w:val="24"/>
        </w:rPr>
        <w:t>的股份。本次交易完成后，核技术公司及其一致行动人中广核资本持有上市公司的股份将超过</w:t>
      </w:r>
      <w:r>
        <w:rPr>
          <w:rFonts w:hint="eastAsia"/>
          <w:bCs/>
          <w:sz w:val="24"/>
          <w:szCs w:val="24"/>
        </w:rPr>
        <w:t>30%</w:t>
      </w:r>
      <w:r>
        <w:rPr>
          <w:rFonts w:hint="eastAsia"/>
          <w:bCs/>
          <w:sz w:val="24"/>
          <w:szCs w:val="24"/>
        </w:rPr>
        <w:t>，根据《上市公司收购管理办法》的规定，核技术公司及其一致行动人中广核资本将触发要约收购义务。</w:t>
      </w:r>
    </w:p>
    <w:p w14:paraId="04B0A09A" w14:textId="77777777" w:rsidR="00000000" w:rsidRDefault="00000000">
      <w:pPr>
        <w:spacing w:before="50" w:after="50" w:line="360" w:lineRule="auto"/>
        <w:ind w:firstLineChars="200" w:firstLine="480"/>
        <w:rPr>
          <w:bCs/>
          <w:sz w:val="24"/>
          <w:szCs w:val="24"/>
        </w:rPr>
      </w:pPr>
      <w:r>
        <w:rPr>
          <w:rFonts w:hint="eastAsia"/>
          <w:bCs/>
          <w:sz w:val="24"/>
          <w:szCs w:val="24"/>
        </w:rPr>
        <w:t>根据《上市公司收购管理办法》第六十三条第一款第（三）项的规定，经上市公司股东大会非关联股东批准，投资者取得上市公司向其发行的新股，导致其在该公司拥有权益的股份超过该公司已发行股份的</w:t>
      </w:r>
      <w:r>
        <w:rPr>
          <w:rFonts w:hint="eastAsia"/>
          <w:bCs/>
          <w:sz w:val="24"/>
          <w:szCs w:val="24"/>
        </w:rPr>
        <w:t>30%</w:t>
      </w:r>
      <w:r>
        <w:rPr>
          <w:rFonts w:hint="eastAsia"/>
          <w:bCs/>
          <w:sz w:val="24"/>
          <w:szCs w:val="24"/>
        </w:rPr>
        <w:t>，投资者承诺</w:t>
      </w:r>
      <w:r>
        <w:rPr>
          <w:rFonts w:hint="eastAsia"/>
          <w:bCs/>
          <w:sz w:val="24"/>
          <w:szCs w:val="24"/>
        </w:rPr>
        <w:t>3</w:t>
      </w:r>
      <w:r>
        <w:rPr>
          <w:rFonts w:hint="eastAsia"/>
          <w:bCs/>
          <w:sz w:val="24"/>
          <w:szCs w:val="24"/>
        </w:rPr>
        <w:t>年内不转</w:t>
      </w:r>
      <w:r>
        <w:rPr>
          <w:rFonts w:hint="eastAsia"/>
          <w:bCs/>
          <w:sz w:val="24"/>
          <w:szCs w:val="24"/>
        </w:rPr>
        <w:lastRenderedPageBreak/>
        <w:t>让本次向其发行的新股，且公司股东大会同意投资者免于发出要约的，投资者可以免于发出要约。</w:t>
      </w:r>
    </w:p>
    <w:p w14:paraId="070DE973" w14:textId="77777777" w:rsidR="00000000" w:rsidRDefault="00000000">
      <w:pPr>
        <w:spacing w:before="50" w:after="50" w:line="360" w:lineRule="auto"/>
        <w:ind w:firstLineChars="200" w:firstLine="480"/>
        <w:rPr>
          <w:bCs/>
          <w:sz w:val="24"/>
          <w:szCs w:val="24"/>
        </w:rPr>
      </w:pPr>
      <w:r>
        <w:rPr>
          <w:bCs/>
          <w:sz w:val="24"/>
          <w:szCs w:val="24"/>
        </w:rPr>
        <w:t>本次交易对增强公司盈利能力、实现公司可持续发展具有重要意义，</w:t>
      </w:r>
      <w:r>
        <w:rPr>
          <w:rFonts w:hint="eastAsia"/>
          <w:bCs/>
          <w:sz w:val="24"/>
          <w:szCs w:val="24"/>
        </w:rPr>
        <w:t>且核技术公司已承诺因本次交易而获得的公司股份自该股份发行结束之日起</w:t>
      </w:r>
      <w:r>
        <w:rPr>
          <w:rFonts w:hint="eastAsia"/>
          <w:bCs/>
          <w:sz w:val="24"/>
          <w:szCs w:val="24"/>
        </w:rPr>
        <w:t>36</w:t>
      </w:r>
      <w:r>
        <w:rPr>
          <w:rFonts w:hint="eastAsia"/>
          <w:bCs/>
          <w:sz w:val="24"/>
          <w:szCs w:val="24"/>
        </w:rPr>
        <w:t>个月内不得转让，董事会提请股东大会非关联股东批准核技术公司及其一致行动人免于以要约收购方式增持公司股份。</w:t>
      </w:r>
    </w:p>
    <w:p w14:paraId="3BC1886A"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0A9B27B9"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7D4F962E" w14:textId="77777777" w:rsidR="00000000" w:rsidRDefault="00000000">
      <w:pPr>
        <w:spacing w:before="50" w:after="50" w:line="360" w:lineRule="auto"/>
        <w:ind w:firstLineChars="200" w:firstLine="480"/>
        <w:rPr>
          <w:bCs/>
          <w:sz w:val="24"/>
          <w:szCs w:val="24"/>
        </w:rPr>
      </w:pPr>
      <w:r>
        <w:rPr>
          <w:bCs/>
          <w:sz w:val="24"/>
          <w:szCs w:val="24"/>
        </w:rPr>
        <w:t>表决结果：通过。</w:t>
      </w:r>
    </w:p>
    <w:p w14:paraId="714168D4" w14:textId="77777777" w:rsidR="00000000" w:rsidRDefault="00000000">
      <w:pPr>
        <w:spacing w:before="50" w:after="50" w:line="360" w:lineRule="auto"/>
        <w:ind w:firstLineChars="200" w:firstLine="480"/>
        <w:rPr>
          <w:bCs/>
          <w:sz w:val="24"/>
          <w:szCs w:val="24"/>
        </w:rPr>
      </w:pPr>
      <w:r>
        <w:rPr>
          <w:bCs/>
          <w:sz w:val="24"/>
          <w:szCs w:val="24"/>
        </w:rPr>
        <w:t>本议案需提交公司股东大会审议。</w:t>
      </w:r>
    </w:p>
    <w:p w14:paraId="755F929C" w14:textId="77777777" w:rsidR="00000000" w:rsidRDefault="00000000">
      <w:pPr>
        <w:spacing w:line="360" w:lineRule="auto"/>
        <w:ind w:firstLineChars="200" w:firstLine="482"/>
        <w:rPr>
          <w:b/>
          <w:bCs/>
          <w:sz w:val="24"/>
          <w:szCs w:val="24"/>
        </w:rPr>
      </w:pPr>
      <w:r>
        <w:rPr>
          <w:b/>
          <w:bCs/>
          <w:sz w:val="24"/>
          <w:szCs w:val="24"/>
        </w:rPr>
        <w:t>（</w:t>
      </w:r>
      <w:r>
        <w:rPr>
          <w:rFonts w:hint="eastAsia"/>
          <w:b/>
          <w:bCs/>
          <w:sz w:val="24"/>
          <w:szCs w:val="24"/>
        </w:rPr>
        <w:t>八</w:t>
      </w:r>
      <w:r>
        <w:rPr>
          <w:b/>
          <w:bCs/>
          <w:sz w:val="24"/>
          <w:szCs w:val="24"/>
        </w:rPr>
        <w:t>）审议通过《</w:t>
      </w:r>
      <w:r>
        <w:rPr>
          <w:rFonts w:hint="eastAsia"/>
          <w:b/>
          <w:bCs/>
          <w:sz w:val="24"/>
          <w:szCs w:val="24"/>
        </w:rPr>
        <w:t>关于本次交易符合</w:t>
      </w:r>
      <w:r>
        <w:rPr>
          <w:rFonts w:hint="eastAsia"/>
          <w:b/>
          <w:bCs/>
          <w:sz w:val="24"/>
          <w:szCs w:val="24"/>
        </w:rPr>
        <w:t>&lt;</w:t>
      </w:r>
      <w:r>
        <w:rPr>
          <w:rFonts w:hint="eastAsia"/>
          <w:b/>
          <w:bCs/>
          <w:sz w:val="24"/>
          <w:szCs w:val="24"/>
        </w:rPr>
        <w:t>上市公司监管指引第</w:t>
      </w:r>
      <w:r>
        <w:rPr>
          <w:rFonts w:hint="eastAsia"/>
          <w:b/>
          <w:bCs/>
          <w:sz w:val="24"/>
          <w:szCs w:val="24"/>
        </w:rPr>
        <w:t>9</w:t>
      </w:r>
      <w:r>
        <w:rPr>
          <w:rFonts w:hint="eastAsia"/>
          <w:b/>
          <w:bCs/>
          <w:sz w:val="24"/>
          <w:szCs w:val="24"/>
        </w:rPr>
        <w:t>号——上市公司筹划和实施重大资产重组的监管要求</w:t>
      </w:r>
      <w:r>
        <w:rPr>
          <w:rFonts w:hint="eastAsia"/>
          <w:b/>
          <w:bCs/>
          <w:sz w:val="24"/>
          <w:szCs w:val="24"/>
        </w:rPr>
        <w:t>&gt;</w:t>
      </w:r>
      <w:r>
        <w:rPr>
          <w:rFonts w:hint="eastAsia"/>
          <w:b/>
          <w:bCs/>
          <w:sz w:val="24"/>
          <w:szCs w:val="24"/>
        </w:rPr>
        <w:t>第四条规定的议案</w:t>
      </w:r>
      <w:r>
        <w:rPr>
          <w:b/>
          <w:bCs/>
          <w:sz w:val="24"/>
          <w:szCs w:val="24"/>
        </w:rPr>
        <w:t>》</w:t>
      </w:r>
    </w:p>
    <w:p w14:paraId="6E8865C7" w14:textId="77777777" w:rsidR="00000000" w:rsidRDefault="00000000">
      <w:pPr>
        <w:spacing w:before="50" w:after="50" w:line="360" w:lineRule="auto"/>
        <w:ind w:firstLineChars="200" w:firstLine="480"/>
        <w:rPr>
          <w:sz w:val="24"/>
          <w:szCs w:val="24"/>
        </w:rPr>
      </w:pPr>
      <w:r>
        <w:rPr>
          <w:sz w:val="24"/>
          <w:szCs w:val="24"/>
        </w:rPr>
        <w:t>董事会经审慎自查，认为公司本次交易符合《</w:t>
      </w:r>
      <w:r>
        <w:rPr>
          <w:rFonts w:hint="eastAsia"/>
          <w:sz w:val="24"/>
          <w:szCs w:val="24"/>
        </w:rPr>
        <w:t>上市公司监管指引第</w:t>
      </w:r>
      <w:r>
        <w:rPr>
          <w:rFonts w:hint="eastAsia"/>
          <w:sz w:val="24"/>
          <w:szCs w:val="24"/>
        </w:rPr>
        <w:t>9</w:t>
      </w:r>
      <w:r>
        <w:rPr>
          <w:rFonts w:hint="eastAsia"/>
          <w:sz w:val="24"/>
          <w:szCs w:val="24"/>
        </w:rPr>
        <w:t>号——上市公司筹划和实施重大资产重组的监管要求</w:t>
      </w:r>
      <w:r>
        <w:rPr>
          <w:sz w:val="24"/>
          <w:szCs w:val="24"/>
        </w:rPr>
        <w:t>》第四条的规定，具体内容详见与本公告同日发布的《</w:t>
      </w:r>
      <w:r>
        <w:rPr>
          <w:rFonts w:hint="eastAsia"/>
          <w:sz w:val="24"/>
          <w:szCs w:val="24"/>
        </w:rPr>
        <w:t>董事会关于本次交易符合</w:t>
      </w:r>
      <w:r>
        <w:rPr>
          <w:rFonts w:hint="eastAsia"/>
          <w:sz w:val="24"/>
          <w:szCs w:val="24"/>
        </w:rPr>
        <w:t>&lt;</w:t>
      </w:r>
      <w:r>
        <w:rPr>
          <w:rFonts w:hint="eastAsia"/>
          <w:sz w:val="24"/>
          <w:szCs w:val="24"/>
        </w:rPr>
        <w:t>上市公司监管指引第</w:t>
      </w:r>
      <w:r>
        <w:rPr>
          <w:rFonts w:hint="eastAsia"/>
          <w:sz w:val="24"/>
          <w:szCs w:val="24"/>
        </w:rPr>
        <w:t>9</w:t>
      </w:r>
      <w:r>
        <w:rPr>
          <w:rFonts w:hint="eastAsia"/>
          <w:sz w:val="24"/>
          <w:szCs w:val="24"/>
        </w:rPr>
        <w:t>号——上市公司筹划和实施重大资产重组的监管要求</w:t>
      </w:r>
      <w:r>
        <w:rPr>
          <w:sz w:val="24"/>
          <w:szCs w:val="24"/>
        </w:rPr>
        <w:t>&gt;</w:t>
      </w:r>
      <w:r>
        <w:rPr>
          <w:rFonts w:hint="eastAsia"/>
          <w:sz w:val="24"/>
          <w:szCs w:val="24"/>
        </w:rPr>
        <w:t>第四条规定的说明</w:t>
      </w:r>
      <w:r>
        <w:rPr>
          <w:sz w:val="24"/>
          <w:szCs w:val="24"/>
        </w:rPr>
        <w:t>》。</w:t>
      </w:r>
    </w:p>
    <w:p w14:paraId="01B56DEC"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28469622"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36FA4DF4" w14:textId="77777777" w:rsidR="00000000" w:rsidRDefault="00000000">
      <w:pPr>
        <w:spacing w:before="50" w:after="50" w:line="360" w:lineRule="auto"/>
        <w:ind w:firstLineChars="200" w:firstLine="480"/>
        <w:rPr>
          <w:bCs/>
          <w:sz w:val="24"/>
          <w:szCs w:val="24"/>
        </w:rPr>
      </w:pPr>
      <w:r>
        <w:rPr>
          <w:bCs/>
          <w:sz w:val="24"/>
          <w:szCs w:val="24"/>
        </w:rPr>
        <w:t>表决结果：通过。</w:t>
      </w:r>
    </w:p>
    <w:p w14:paraId="3B8D4B94" w14:textId="77777777" w:rsidR="00000000" w:rsidRDefault="00000000">
      <w:pPr>
        <w:spacing w:before="50" w:after="50" w:line="360" w:lineRule="auto"/>
        <w:ind w:firstLineChars="200" w:firstLine="480"/>
        <w:rPr>
          <w:bCs/>
          <w:sz w:val="24"/>
          <w:szCs w:val="24"/>
        </w:rPr>
      </w:pPr>
      <w:r>
        <w:rPr>
          <w:bCs/>
          <w:sz w:val="24"/>
          <w:szCs w:val="24"/>
        </w:rPr>
        <w:t>本议案需提交公司股东大会审议。</w:t>
      </w:r>
    </w:p>
    <w:p w14:paraId="3699409C" w14:textId="77777777" w:rsidR="00000000" w:rsidRDefault="00000000">
      <w:pPr>
        <w:spacing w:line="360" w:lineRule="auto"/>
        <w:ind w:firstLineChars="200" w:firstLine="482"/>
        <w:rPr>
          <w:b/>
          <w:bCs/>
          <w:sz w:val="24"/>
          <w:szCs w:val="24"/>
        </w:rPr>
      </w:pPr>
      <w:r>
        <w:rPr>
          <w:b/>
          <w:bCs/>
          <w:sz w:val="24"/>
          <w:szCs w:val="24"/>
        </w:rPr>
        <w:t>（</w:t>
      </w:r>
      <w:r>
        <w:rPr>
          <w:rFonts w:hint="eastAsia"/>
          <w:b/>
          <w:bCs/>
          <w:sz w:val="24"/>
          <w:szCs w:val="24"/>
        </w:rPr>
        <w:t>九</w:t>
      </w:r>
      <w:r>
        <w:rPr>
          <w:b/>
          <w:bCs/>
          <w:sz w:val="24"/>
          <w:szCs w:val="24"/>
        </w:rPr>
        <w:t>）审议通过《</w:t>
      </w:r>
      <w:r>
        <w:rPr>
          <w:rFonts w:hint="eastAsia"/>
          <w:b/>
          <w:bCs/>
          <w:sz w:val="24"/>
          <w:szCs w:val="24"/>
        </w:rPr>
        <w:t>关于本次交易符合</w:t>
      </w:r>
      <w:r>
        <w:rPr>
          <w:rFonts w:hint="eastAsia"/>
          <w:b/>
          <w:bCs/>
          <w:sz w:val="24"/>
          <w:szCs w:val="24"/>
        </w:rPr>
        <w:t>&lt;</w:t>
      </w:r>
      <w:r>
        <w:rPr>
          <w:rFonts w:hint="eastAsia"/>
          <w:b/>
          <w:bCs/>
          <w:sz w:val="24"/>
          <w:szCs w:val="24"/>
        </w:rPr>
        <w:t>上市公司重大资产重组管理办法</w:t>
      </w:r>
      <w:r>
        <w:rPr>
          <w:rFonts w:hint="eastAsia"/>
          <w:b/>
          <w:bCs/>
          <w:sz w:val="24"/>
          <w:szCs w:val="24"/>
        </w:rPr>
        <w:t>&gt;</w:t>
      </w:r>
      <w:r>
        <w:rPr>
          <w:rFonts w:hint="eastAsia"/>
          <w:b/>
          <w:bCs/>
          <w:sz w:val="24"/>
          <w:szCs w:val="24"/>
        </w:rPr>
        <w:t>第十一条和第四十三条规定的议案</w:t>
      </w:r>
      <w:r>
        <w:rPr>
          <w:b/>
          <w:bCs/>
          <w:sz w:val="24"/>
          <w:szCs w:val="24"/>
        </w:rPr>
        <w:t>》</w:t>
      </w:r>
    </w:p>
    <w:p w14:paraId="30508454" w14:textId="77777777" w:rsidR="00000000" w:rsidRDefault="00000000">
      <w:pPr>
        <w:spacing w:before="50" w:after="50" w:line="360" w:lineRule="auto"/>
        <w:ind w:firstLineChars="200" w:firstLine="480"/>
        <w:rPr>
          <w:bCs/>
          <w:sz w:val="24"/>
          <w:szCs w:val="24"/>
        </w:rPr>
      </w:pPr>
      <w:r>
        <w:rPr>
          <w:bCs/>
          <w:sz w:val="24"/>
          <w:szCs w:val="24"/>
        </w:rPr>
        <w:t>董事会经审慎自查，认为公司本次交易符合《</w:t>
      </w:r>
      <w:r>
        <w:rPr>
          <w:rFonts w:hint="eastAsia"/>
          <w:bCs/>
          <w:sz w:val="24"/>
          <w:szCs w:val="24"/>
        </w:rPr>
        <w:t>上市公司重大资产重组管理办法</w:t>
      </w:r>
      <w:r>
        <w:rPr>
          <w:bCs/>
          <w:sz w:val="24"/>
          <w:szCs w:val="24"/>
        </w:rPr>
        <w:t>》</w:t>
      </w:r>
      <w:r>
        <w:rPr>
          <w:rFonts w:hint="eastAsia"/>
          <w:bCs/>
          <w:sz w:val="24"/>
          <w:szCs w:val="24"/>
        </w:rPr>
        <w:t>第十一条和第四十三条</w:t>
      </w:r>
      <w:r>
        <w:rPr>
          <w:bCs/>
          <w:sz w:val="24"/>
          <w:szCs w:val="24"/>
        </w:rPr>
        <w:t>的规定，具体内容详见与本公告同日发布的《</w:t>
      </w:r>
      <w:r>
        <w:rPr>
          <w:rFonts w:hint="eastAsia"/>
          <w:bCs/>
          <w:sz w:val="24"/>
          <w:szCs w:val="24"/>
        </w:rPr>
        <w:t>董事会关于本次交易符合</w:t>
      </w:r>
      <w:r>
        <w:rPr>
          <w:rFonts w:hint="eastAsia"/>
          <w:bCs/>
          <w:sz w:val="24"/>
          <w:szCs w:val="24"/>
        </w:rPr>
        <w:t>&lt;</w:t>
      </w:r>
      <w:r>
        <w:rPr>
          <w:rFonts w:hint="eastAsia"/>
          <w:bCs/>
          <w:sz w:val="24"/>
          <w:szCs w:val="24"/>
        </w:rPr>
        <w:t>上市公司重大资产重组管理办法</w:t>
      </w:r>
      <w:r>
        <w:rPr>
          <w:rFonts w:hint="eastAsia"/>
          <w:bCs/>
          <w:sz w:val="24"/>
          <w:szCs w:val="24"/>
        </w:rPr>
        <w:t>&gt;</w:t>
      </w:r>
      <w:r>
        <w:rPr>
          <w:rFonts w:hint="eastAsia"/>
          <w:bCs/>
          <w:sz w:val="24"/>
          <w:szCs w:val="24"/>
        </w:rPr>
        <w:t>第十一条、第四十三条规</w:t>
      </w:r>
      <w:r>
        <w:rPr>
          <w:rFonts w:hint="eastAsia"/>
          <w:bCs/>
          <w:sz w:val="24"/>
          <w:szCs w:val="24"/>
        </w:rPr>
        <w:lastRenderedPageBreak/>
        <w:t>定的说明</w:t>
      </w:r>
      <w:r>
        <w:rPr>
          <w:bCs/>
          <w:sz w:val="24"/>
          <w:szCs w:val="24"/>
        </w:rPr>
        <w:t>》。</w:t>
      </w:r>
    </w:p>
    <w:p w14:paraId="1BF15453"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143CA469"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757C02B8" w14:textId="77777777" w:rsidR="00000000" w:rsidRDefault="00000000">
      <w:pPr>
        <w:spacing w:before="50" w:after="50" w:line="360" w:lineRule="auto"/>
        <w:ind w:firstLineChars="200" w:firstLine="480"/>
        <w:rPr>
          <w:bCs/>
          <w:sz w:val="24"/>
          <w:szCs w:val="24"/>
        </w:rPr>
      </w:pPr>
      <w:r>
        <w:rPr>
          <w:bCs/>
          <w:sz w:val="24"/>
          <w:szCs w:val="24"/>
        </w:rPr>
        <w:t>表决结果：通过。</w:t>
      </w:r>
    </w:p>
    <w:p w14:paraId="31813DFD" w14:textId="77777777" w:rsidR="00000000" w:rsidRDefault="00000000">
      <w:pPr>
        <w:spacing w:line="360" w:lineRule="auto"/>
        <w:ind w:firstLineChars="200" w:firstLine="480"/>
        <w:rPr>
          <w:bCs/>
          <w:sz w:val="24"/>
          <w:szCs w:val="24"/>
        </w:rPr>
      </w:pPr>
      <w:r>
        <w:rPr>
          <w:bCs/>
          <w:sz w:val="24"/>
          <w:szCs w:val="24"/>
        </w:rPr>
        <w:t>本议案需提交公司股东大会审议。</w:t>
      </w:r>
    </w:p>
    <w:p w14:paraId="4633D12D" w14:textId="77777777" w:rsidR="00000000" w:rsidRDefault="00000000">
      <w:pPr>
        <w:spacing w:line="360" w:lineRule="auto"/>
        <w:ind w:firstLineChars="200" w:firstLine="482"/>
        <w:rPr>
          <w:rFonts w:hint="eastAsia"/>
          <w:b/>
          <w:bCs/>
          <w:sz w:val="24"/>
          <w:szCs w:val="24"/>
        </w:rPr>
      </w:pPr>
      <w:r>
        <w:rPr>
          <w:b/>
          <w:bCs/>
          <w:sz w:val="24"/>
          <w:szCs w:val="24"/>
        </w:rPr>
        <w:t>（</w:t>
      </w:r>
      <w:r>
        <w:rPr>
          <w:rFonts w:hint="eastAsia"/>
          <w:b/>
          <w:bCs/>
          <w:sz w:val="24"/>
          <w:szCs w:val="24"/>
        </w:rPr>
        <w:t>十</w:t>
      </w:r>
      <w:r>
        <w:rPr>
          <w:b/>
          <w:bCs/>
          <w:sz w:val="24"/>
          <w:szCs w:val="24"/>
        </w:rPr>
        <w:t>）审议通过《</w:t>
      </w:r>
      <w:r>
        <w:rPr>
          <w:rFonts w:hint="eastAsia"/>
          <w:b/>
          <w:bCs/>
          <w:sz w:val="24"/>
          <w:szCs w:val="24"/>
        </w:rPr>
        <w:t>关于本次交易相关主体不存在依据</w:t>
      </w:r>
      <w:r>
        <w:rPr>
          <w:rFonts w:hint="eastAsia"/>
          <w:b/>
          <w:bCs/>
          <w:sz w:val="24"/>
          <w:szCs w:val="24"/>
        </w:rPr>
        <w:t>&lt;</w:t>
      </w:r>
      <w:r>
        <w:rPr>
          <w:rFonts w:hint="eastAsia"/>
          <w:b/>
          <w:bCs/>
          <w:sz w:val="24"/>
          <w:szCs w:val="24"/>
        </w:rPr>
        <w:t>上市公司监管指引第</w:t>
      </w:r>
      <w:r>
        <w:rPr>
          <w:rFonts w:hint="eastAsia"/>
          <w:b/>
          <w:bCs/>
          <w:sz w:val="24"/>
          <w:szCs w:val="24"/>
        </w:rPr>
        <w:t>7</w:t>
      </w:r>
      <w:r>
        <w:rPr>
          <w:rFonts w:hint="eastAsia"/>
          <w:b/>
          <w:bCs/>
          <w:sz w:val="24"/>
          <w:szCs w:val="24"/>
        </w:rPr>
        <w:t>号—上市公司重大资产重组相关股票异常交易监管</w:t>
      </w:r>
      <w:r>
        <w:rPr>
          <w:rFonts w:hint="eastAsia"/>
          <w:b/>
          <w:bCs/>
          <w:sz w:val="24"/>
          <w:szCs w:val="24"/>
        </w:rPr>
        <w:t>&gt;</w:t>
      </w:r>
      <w:r>
        <w:rPr>
          <w:rFonts w:hint="eastAsia"/>
          <w:b/>
          <w:bCs/>
          <w:sz w:val="24"/>
          <w:szCs w:val="24"/>
        </w:rPr>
        <w:t>第十二条不得参与上市公司重大资产重组情形的议案》</w:t>
      </w:r>
    </w:p>
    <w:p w14:paraId="4CEC8303" w14:textId="77777777" w:rsidR="00000000" w:rsidRDefault="00000000">
      <w:pPr>
        <w:spacing w:line="360" w:lineRule="auto"/>
        <w:ind w:firstLineChars="200" w:firstLine="480"/>
        <w:rPr>
          <w:sz w:val="24"/>
          <w:szCs w:val="24"/>
        </w:rPr>
      </w:pPr>
      <w:r>
        <w:rPr>
          <w:sz w:val="24"/>
          <w:szCs w:val="24"/>
        </w:rPr>
        <w:t>经公司核查，本次交易相关主体</w:t>
      </w:r>
      <w:r>
        <w:rPr>
          <w:rFonts w:hint="eastAsia"/>
          <w:sz w:val="24"/>
        </w:rPr>
        <w:t>不存在</w:t>
      </w:r>
      <w:r>
        <w:rPr>
          <w:sz w:val="24"/>
          <w:szCs w:val="24"/>
        </w:rPr>
        <w:t>《上市公司监管指引第</w:t>
      </w:r>
      <w:r>
        <w:rPr>
          <w:sz w:val="24"/>
          <w:szCs w:val="24"/>
        </w:rPr>
        <w:t>7</w:t>
      </w:r>
      <w:r>
        <w:rPr>
          <w:sz w:val="24"/>
          <w:szCs w:val="24"/>
        </w:rPr>
        <w:t>号</w:t>
      </w:r>
      <w:r>
        <w:rPr>
          <w:sz w:val="24"/>
          <w:szCs w:val="24"/>
        </w:rPr>
        <w:t>——</w:t>
      </w:r>
      <w:r>
        <w:rPr>
          <w:sz w:val="24"/>
          <w:szCs w:val="24"/>
        </w:rPr>
        <w:t>上市公司重大资产重组相关股票异常交易监管》</w:t>
      </w:r>
      <w:r>
        <w:rPr>
          <w:rFonts w:hint="eastAsia"/>
          <w:sz w:val="24"/>
        </w:rPr>
        <w:t>第十二条规定的不得参与任何上市公司重大资产重组的情形。</w:t>
      </w:r>
      <w:r>
        <w:rPr>
          <w:bCs/>
          <w:sz w:val="24"/>
          <w:szCs w:val="24"/>
        </w:rPr>
        <w:t>具体内容详见与本公告同日发布的</w:t>
      </w:r>
      <w:r>
        <w:rPr>
          <w:rFonts w:hint="eastAsia"/>
          <w:bCs/>
          <w:sz w:val="24"/>
          <w:szCs w:val="24"/>
        </w:rPr>
        <w:t>《</w:t>
      </w:r>
      <w:r>
        <w:rPr>
          <w:rFonts w:hint="eastAsia"/>
          <w:sz w:val="24"/>
        </w:rPr>
        <w:t>董事会关于本次交易相关主体不存在</w:t>
      </w:r>
      <w:r>
        <w:rPr>
          <w:rFonts w:hint="eastAsia"/>
          <w:sz w:val="24"/>
        </w:rPr>
        <w:t>&lt;</w:t>
      </w:r>
      <w:r>
        <w:rPr>
          <w:rFonts w:hint="eastAsia"/>
          <w:sz w:val="24"/>
        </w:rPr>
        <w:t>上市公司监管指引第</w:t>
      </w:r>
      <w:r>
        <w:rPr>
          <w:rFonts w:hint="eastAsia"/>
          <w:sz w:val="24"/>
        </w:rPr>
        <w:t>7</w:t>
      </w:r>
      <w:r>
        <w:rPr>
          <w:rFonts w:hint="eastAsia"/>
          <w:sz w:val="24"/>
        </w:rPr>
        <w:t>号—上市公司重大资产重组相关股票异常交易监管</w:t>
      </w:r>
      <w:r>
        <w:rPr>
          <w:rFonts w:hint="eastAsia"/>
          <w:sz w:val="24"/>
        </w:rPr>
        <w:t>&gt;</w:t>
      </w:r>
      <w:r>
        <w:rPr>
          <w:rFonts w:hint="eastAsia"/>
          <w:sz w:val="24"/>
        </w:rPr>
        <w:t>第十二条情形的说明</w:t>
      </w:r>
      <w:r>
        <w:rPr>
          <w:rFonts w:hint="eastAsia"/>
          <w:bCs/>
          <w:sz w:val="24"/>
          <w:szCs w:val="24"/>
        </w:rPr>
        <w:t>》。</w:t>
      </w:r>
    </w:p>
    <w:p w14:paraId="286AF7DD"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2AB390BC"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5C43FA8" w14:textId="77777777" w:rsidR="00000000" w:rsidRDefault="00000000">
      <w:pPr>
        <w:spacing w:before="50" w:after="50" w:line="360" w:lineRule="auto"/>
        <w:ind w:firstLineChars="200" w:firstLine="480"/>
        <w:rPr>
          <w:bCs/>
          <w:sz w:val="24"/>
          <w:szCs w:val="24"/>
        </w:rPr>
      </w:pPr>
      <w:r>
        <w:rPr>
          <w:bCs/>
          <w:sz w:val="24"/>
          <w:szCs w:val="24"/>
        </w:rPr>
        <w:t>表决结果：通过。</w:t>
      </w:r>
    </w:p>
    <w:p w14:paraId="14CAF530" w14:textId="77777777" w:rsidR="00000000" w:rsidRDefault="00000000">
      <w:pPr>
        <w:spacing w:line="360" w:lineRule="auto"/>
        <w:ind w:firstLineChars="200" w:firstLine="480"/>
        <w:rPr>
          <w:sz w:val="24"/>
          <w:szCs w:val="24"/>
        </w:rPr>
      </w:pPr>
      <w:r>
        <w:rPr>
          <w:sz w:val="24"/>
          <w:szCs w:val="24"/>
        </w:rPr>
        <w:t>本议案需提交公司股东大会审议。</w:t>
      </w:r>
    </w:p>
    <w:p w14:paraId="492CEE28" w14:textId="77777777" w:rsidR="00000000" w:rsidRDefault="00000000">
      <w:pPr>
        <w:spacing w:before="50" w:after="50" w:line="360" w:lineRule="auto"/>
        <w:ind w:firstLineChars="200" w:firstLine="482"/>
        <w:rPr>
          <w:b/>
          <w:sz w:val="24"/>
          <w:szCs w:val="24"/>
        </w:rPr>
      </w:pPr>
      <w:r>
        <w:rPr>
          <w:b/>
          <w:sz w:val="24"/>
          <w:szCs w:val="24"/>
        </w:rPr>
        <w:t>（</w:t>
      </w:r>
      <w:r>
        <w:rPr>
          <w:rFonts w:hint="eastAsia"/>
          <w:b/>
          <w:sz w:val="24"/>
          <w:szCs w:val="24"/>
        </w:rPr>
        <w:t>十一</w:t>
      </w:r>
      <w:r>
        <w:rPr>
          <w:b/>
          <w:sz w:val="24"/>
          <w:szCs w:val="24"/>
        </w:rPr>
        <w:t>）</w:t>
      </w:r>
      <w:r>
        <w:rPr>
          <w:rFonts w:hint="eastAsia"/>
          <w:b/>
          <w:sz w:val="24"/>
          <w:szCs w:val="24"/>
        </w:rPr>
        <w:t>审议通过《关于本次交易符合</w:t>
      </w:r>
      <w:r>
        <w:rPr>
          <w:rFonts w:hint="eastAsia"/>
          <w:b/>
          <w:sz w:val="24"/>
          <w:szCs w:val="24"/>
        </w:rPr>
        <w:t>&lt;</w:t>
      </w:r>
      <w:r>
        <w:rPr>
          <w:rFonts w:hint="eastAsia"/>
          <w:b/>
          <w:sz w:val="24"/>
          <w:szCs w:val="24"/>
        </w:rPr>
        <w:t>上市公司证券发行注册管理办法</w:t>
      </w:r>
      <w:r>
        <w:rPr>
          <w:rFonts w:hint="eastAsia"/>
          <w:b/>
          <w:sz w:val="24"/>
          <w:szCs w:val="24"/>
        </w:rPr>
        <w:t>&gt;</w:t>
      </w:r>
      <w:r>
        <w:rPr>
          <w:rFonts w:hint="eastAsia"/>
          <w:b/>
          <w:sz w:val="24"/>
          <w:szCs w:val="24"/>
        </w:rPr>
        <w:t>第十一条规定的议案》</w:t>
      </w:r>
    </w:p>
    <w:p w14:paraId="5BB94574" w14:textId="77777777" w:rsidR="00000000" w:rsidRDefault="00000000">
      <w:pPr>
        <w:spacing w:line="360" w:lineRule="auto"/>
        <w:ind w:firstLineChars="200" w:firstLine="480"/>
        <w:rPr>
          <w:sz w:val="24"/>
          <w:szCs w:val="24"/>
        </w:rPr>
      </w:pPr>
      <w:r>
        <w:rPr>
          <w:rFonts w:hint="eastAsia"/>
          <w:sz w:val="24"/>
          <w:szCs w:val="24"/>
        </w:rPr>
        <w:t>经公司自查，本次交易不存在《上市公司证券发行注册管理办法》第十一条规定的下述情形：</w:t>
      </w:r>
    </w:p>
    <w:p w14:paraId="6DAA5392" w14:textId="77777777" w:rsidR="00000000" w:rsidRDefault="00000000">
      <w:pPr>
        <w:spacing w:line="360" w:lineRule="auto"/>
        <w:ind w:firstLineChars="200" w:firstLine="480"/>
        <w:rPr>
          <w:sz w:val="24"/>
          <w:szCs w:val="24"/>
        </w:rPr>
      </w:pPr>
      <w:r>
        <w:rPr>
          <w:rFonts w:hint="eastAsia"/>
          <w:sz w:val="24"/>
          <w:szCs w:val="24"/>
        </w:rPr>
        <w:t>1.</w:t>
      </w:r>
      <w:r>
        <w:rPr>
          <w:rFonts w:hint="eastAsia"/>
          <w:sz w:val="24"/>
          <w:szCs w:val="24"/>
        </w:rPr>
        <w:tab/>
      </w:r>
      <w:r>
        <w:rPr>
          <w:rFonts w:hint="eastAsia"/>
          <w:sz w:val="24"/>
          <w:szCs w:val="24"/>
        </w:rPr>
        <w:t>擅自改变前次募集资金用途未作纠正，或者未经股东大会认可；</w:t>
      </w:r>
    </w:p>
    <w:p w14:paraId="3A54FF7A" w14:textId="77777777" w:rsidR="00000000" w:rsidRDefault="00000000">
      <w:pPr>
        <w:spacing w:line="360" w:lineRule="auto"/>
        <w:ind w:firstLineChars="200" w:firstLine="480"/>
        <w:rPr>
          <w:sz w:val="24"/>
          <w:szCs w:val="24"/>
        </w:rPr>
      </w:pPr>
      <w:r>
        <w:rPr>
          <w:rFonts w:hint="eastAsia"/>
          <w:sz w:val="24"/>
          <w:szCs w:val="24"/>
        </w:rPr>
        <w:t>2.</w:t>
      </w:r>
      <w:r>
        <w:rPr>
          <w:rFonts w:hint="eastAsia"/>
          <w:sz w:val="24"/>
          <w:szCs w:val="24"/>
        </w:rPr>
        <w:tab/>
      </w:r>
      <w:r>
        <w:rPr>
          <w:rFonts w:hint="eastAsia"/>
          <w:sz w:val="24"/>
          <w:szCs w:val="24"/>
        </w:rPr>
        <w:t>最近一年财务报表的编制和披露在重大方面不符合企业会计准则或者相关信息披露规则的规定；最近一年财务会计报告被出具否定意见或者无法表示意见的审计报告；最近一年财务会计报告被出具保留意见的审计报告，且保留意见所涉及事项对上市公司的重大不利影响尚未消除；</w:t>
      </w:r>
    </w:p>
    <w:p w14:paraId="69D9B379" w14:textId="77777777" w:rsidR="00000000" w:rsidRDefault="00000000">
      <w:pPr>
        <w:spacing w:line="360" w:lineRule="auto"/>
        <w:ind w:firstLineChars="200" w:firstLine="480"/>
        <w:rPr>
          <w:sz w:val="24"/>
          <w:szCs w:val="24"/>
        </w:rPr>
      </w:pPr>
      <w:r>
        <w:rPr>
          <w:rFonts w:hint="eastAsia"/>
          <w:sz w:val="24"/>
          <w:szCs w:val="24"/>
        </w:rPr>
        <w:lastRenderedPageBreak/>
        <w:t>3.</w:t>
      </w:r>
      <w:r>
        <w:rPr>
          <w:rFonts w:hint="eastAsia"/>
          <w:sz w:val="24"/>
          <w:szCs w:val="24"/>
        </w:rPr>
        <w:tab/>
      </w:r>
      <w:r>
        <w:rPr>
          <w:rFonts w:hint="eastAsia"/>
          <w:sz w:val="24"/>
          <w:szCs w:val="24"/>
        </w:rPr>
        <w:t>现任董事、监事和高级管理人员最近三年受到中国证监会行政处罚，或者最近一年受到证券交易所公开谴责；</w:t>
      </w:r>
    </w:p>
    <w:p w14:paraId="5FC72616" w14:textId="77777777" w:rsidR="00000000" w:rsidRDefault="00000000">
      <w:pPr>
        <w:spacing w:line="360" w:lineRule="auto"/>
        <w:ind w:firstLineChars="200" w:firstLine="480"/>
        <w:rPr>
          <w:sz w:val="24"/>
          <w:szCs w:val="24"/>
        </w:rPr>
      </w:pPr>
      <w:r>
        <w:rPr>
          <w:rFonts w:hint="eastAsia"/>
          <w:sz w:val="24"/>
          <w:szCs w:val="24"/>
        </w:rPr>
        <w:t>4.</w:t>
      </w:r>
      <w:r>
        <w:rPr>
          <w:rFonts w:hint="eastAsia"/>
          <w:sz w:val="24"/>
          <w:szCs w:val="24"/>
        </w:rPr>
        <w:tab/>
      </w:r>
      <w:r>
        <w:rPr>
          <w:rFonts w:hint="eastAsia"/>
          <w:sz w:val="24"/>
          <w:szCs w:val="24"/>
        </w:rPr>
        <w:t>上市公司或者其现任董事、监事和高级管理人员因涉嫌犯罪正在被司法机关立案侦查或者涉嫌违法违规正在被中国证监会立案调查；</w:t>
      </w:r>
    </w:p>
    <w:p w14:paraId="760D00DE" w14:textId="77777777" w:rsidR="00000000" w:rsidRDefault="00000000">
      <w:pPr>
        <w:spacing w:line="360" w:lineRule="auto"/>
        <w:ind w:firstLineChars="200" w:firstLine="480"/>
        <w:rPr>
          <w:sz w:val="24"/>
          <w:szCs w:val="24"/>
        </w:rPr>
      </w:pPr>
      <w:r>
        <w:rPr>
          <w:rFonts w:hint="eastAsia"/>
          <w:sz w:val="24"/>
          <w:szCs w:val="24"/>
        </w:rPr>
        <w:t>5.</w:t>
      </w:r>
      <w:r>
        <w:rPr>
          <w:rFonts w:hint="eastAsia"/>
          <w:sz w:val="24"/>
          <w:szCs w:val="24"/>
        </w:rPr>
        <w:tab/>
      </w:r>
      <w:r>
        <w:rPr>
          <w:rFonts w:hint="eastAsia"/>
          <w:sz w:val="24"/>
          <w:szCs w:val="24"/>
        </w:rPr>
        <w:t>控股股东、实际控制人最近三年存在严重损害上市公司利益或者投资者合法权益的重大违法行为；</w:t>
      </w:r>
    </w:p>
    <w:p w14:paraId="6BE72D8C" w14:textId="77777777" w:rsidR="00000000" w:rsidRDefault="00000000">
      <w:pPr>
        <w:spacing w:line="360" w:lineRule="auto"/>
        <w:ind w:firstLineChars="200" w:firstLine="480"/>
        <w:rPr>
          <w:sz w:val="24"/>
          <w:szCs w:val="24"/>
        </w:rPr>
      </w:pPr>
      <w:r>
        <w:rPr>
          <w:rFonts w:hint="eastAsia"/>
          <w:sz w:val="24"/>
          <w:szCs w:val="24"/>
        </w:rPr>
        <w:t>6.</w:t>
      </w:r>
      <w:r>
        <w:rPr>
          <w:rFonts w:hint="eastAsia"/>
          <w:sz w:val="24"/>
          <w:szCs w:val="24"/>
        </w:rPr>
        <w:tab/>
      </w:r>
      <w:r>
        <w:rPr>
          <w:rFonts w:hint="eastAsia"/>
          <w:sz w:val="24"/>
          <w:szCs w:val="24"/>
        </w:rPr>
        <w:t>最近三年存在严重损害投资者合法权益或者社会公共利益的重大违法行为。</w:t>
      </w:r>
    </w:p>
    <w:p w14:paraId="1ECB3917"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7559EA1D"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57754AC" w14:textId="77777777" w:rsidR="00000000" w:rsidRDefault="00000000">
      <w:pPr>
        <w:spacing w:before="50" w:after="50" w:line="360" w:lineRule="auto"/>
        <w:ind w:firstLineChars="200" w:firstLine="480"/>
        <w:rPr>
          <w:bCs/>
          <w:sz w:val="24"/>
          <w:szCs w:val="24"/>
        </w:rPr>
      </w:pPr>
      <w:r>
        <w:rPr>
          <w:bCs/>
          <w:sz w:val="24"/>
          <w:szCs w:val="24"/>
        </w:rPr>
        <w:t>表决结果：通过。</w:t>
      </w:r>
    </w:p>
    <w:p w14:paraId="1DF800F6" w14:textId="77777777" w:rsidR="00000000" w:rsidRDefault="00000000">
      <w:pPr>
        <w:spacing w:line="360" w:lineRule="auto"/>
        <w:ind w:firstLineChars="200" w:firstLine="480"/>
        <w:rPr>
          <w:rFonts w:hint="eastAsia"/>
          <w:sz w:val="24"/>
          <w:szCs w:val="24"/>
        </w:rPr>
      </w:pPr>
      <w:r>
        <w:rPr>
          <w:sz w:val="24"/>
          <w:szCs w:val="24"/>
        </w:rPr>
        <w:t>本议案需提交公司股东大会审议。</w:t>
      </w:r>
    </w:p>
    <w:p w14:paraId="4E4992DE" w14:textId="77777777" w:rsidR="00000000" w:rsidRDefault="00000000">
      <w:pPr>
        <w:spacing w:before="50" w:after="50" w:line="360" w:lineRule="auto"/>
        <w:ind w:firstLineChars="200" w:firstLine="482"/>
        <w:rPr>
          <w:b/>
          <w:sz w:val="24"/>
          <w:szCs w:val="24"/>
        </w:rPr>
      </w:pPr>
      <w:r>
        <w:rPr>
          <w:rFonts w:hint="eastAsia"/>
          <w:b/>
          <w:sz w:val="24"/>
          <w:szCs w:val="24"/>
        </w:rPr>
        <w:t>（十二）</w:t>
      </w:r>
      <w:r>
        <w:rPr>
          <w:b/>
          <w:sz w:val="24"/>
          <w:szCs w:val="24"/>
        </w:rPr>
        <w:t>审议通过《关于</w:t>
      </w:r>
      <w:r>
        <w:rPr>
          <w:b/>
          <w:sz w:val="24"/>
          <w:szCs w:val="24"/>
        </w:rPr>
        <w:t>&lt;</w:t>
      </w:r>
      <w:r>
        <w:rPr>
          <w:b/>
          <w:sz w:val="24"/>
          <w:szCs w:val="24"/>
        </w:rPr>
        <w:t>中广核核技术发展股份有限公司发行股份</w:t>
      </w:r>
      <w:r>
        <w:rPr>
          <w:rFonts w:hint="eastAsia"/>
          <w:b/>
          <w:sz w:val="24"/>
          <w:szCs w:val="24"/>
        </w:rPr>
        <w:t>及支付现金</w:t>
      </w:r>
      <w:r>
        <w:rPr>
          <w:b/>
          <w:sz w:val="24"/>
          <w:szCs w:val="24"/>
        </w:rPr>
        <w:t>购买资产</w:t>
      </w:r>
      <w:r>
        <w:rPr>
          <w:rFonts w:hint="eastAsia"/>
          <w:b/>
          <w:sz w:val="24"/>
          <w:szCs w:val="24"/>
        </w:rPr>
        <w:t>并募集配套资金</w:t>
      </w:r>
      <w:r>
        <w:rPr>
          <w:b/>
          <w:sz w:val="24"/>
          <w:szCs w:val="24"/>
        </w:rPr>
        <w:t>暨关联交易报告书（草案）</w:t>
      </w:r>
      <w:r>
        <w:rPr>
          <w:rFonts w:hint="eastAsia"/>
          <w:b/>
          <w:sz w:val="24"/>
          <w:szCs w:val="24"/>
        </w:rPr>
        <w:t>（修订稿）</w:t>
      </w:r>
      <w:r>
        <w:rPr>
          <w:b/>
          <w:sz w:val="24"/>
          <w:szCs w:val="24"/>
        </w:rPr>
        <w:t>&gt;</w:t>
      </w:r>
      <w:r>
        <w:rPr>
          <w:b/>
          <w:sz w:val="24"/>
          <w:szCs w:val="24"/>
        </w:rPr>
        <w:t>及其摘要的议案》</w:t>
      </w:r>
    </w:p>
    <w:p w14:paraId="77941CA5" w14:textId="77777777" w:rsidR="00000000" w:rsidRDefault="00000000">
      <w:pPr>
        <w:spacing w:before="50" w:after="50" w:line="360" w:lineRule="auto"/>
        <w:ind w:firstLineChars="200" w:firstLine="480"/>
        <w:rPr>
          <w:sz w:val="24"/>
          <w:szCs w:val="24"/>
        </w:rPr>
      </w:pPr>
      <w:r>
        <w:rPr>
          <w:sz w:val="24"/>
          <w:szCs w:val="24"/>
        </w:rPr>
        <w:t>就本次交易事宜，公司根据《中华人民共和国公司法》《中华人民共和国证券法》《上市公司重大资产重组管理办法》《公开发行证券的公司信息披露内容与格式准则第</w:t>
      </w:r>
      <w:r>
        <w:rPr>
          <w:sz w:val="24"/>
          <w:szCs w:val="24"/>
        </w:rPr>
        <w:t>26</w:t>
      </w:r>
      <w:r>
        <w:rPr>
          <w:sz w:val="24"/>
          <w:szCs w:val="24"/>
        </w:rPr>
        <w:t>号</w:t>
      </w:r>
      <w:r>
        <w:rPr>
          <w:sz w:val="24"/>
          <w:szCs w:val="24"/>
        </w:rPr>
        <w:t>——</w:t>
      </w:r>
      <w:r>
        <w:rPr>
          <w:sz w:val="24"/>
          <w:szCs w:val="24"/>
        </w:rPr>
        <w:t>上市公司重大资产重组》等法律、法规及规范性文件的规定，公司编制了《中广核核技术发展股份有限公司发行股份及支付现金购买资产</w:t>
      </w:r>
      <w:r>
        <w:rPr>
          <w:rFonts w:hint="eastAsia"/>
          <w:sz w:val="24"/>
          <w:szCs w:val="24"/>
        </w:rPr>
        <w:t>并募集配套资金</w:t>
      </w:r>
      <w:r>
        <w:rPr>
          <w:sz w:val="24"/>
          <w:szCs w:val="24"/>
        </w:rPr>
        <w:t>暨关联交易报告书（草案）</w:t>
      </w:r>
      <w:r>
        <w:rPr>
          <w:rFonts w:hint="eastAsia"/>
          <w:sz w:val="24"/>
          <w:szCs w:val="24"/>
        </w:rPr>
        <w:t>（修订稿）</w:t>
      </w:r>
      <w:r>
        <w:rPr>
          <w:sz w:val="24"/>
          <w:szCs w:val="24"/>
        </w:rPr>
        <w:t>》及其摘要。</w:t>
      </w:r>
    </w:p>
    <w:p w14:paraId="081BE985" w14:textId="77777777" w:rsidR="00000000" w:rsidRDefault="00000000">
      <w:pPr>
        <w:spacing w:before="50" w:after="50" w:line="360" w:lineRule="auto"/>
        <w:ind w:firstLineChars="200" w:firstLine="480"/>
        <w:rPr>
          <w:sz w:val="24"/>
          <w:szCs w:val="24"/>
        </w:rPr>
      </w:pPr>
      <w:r>
        <w:rPr>
          <w:sz w:val="24"/>
          <w:szCs w:val="24"/>
        </w:rPr>
        <w:t>具体内容详见与本公告同日发布的《中广核核技术发展股份有限公司发行股份及支付现金购买资产</w:t>
      </w:r>
      <w:r>
        <w:rPr>
          <w:rFonts w:hint="eastAsia"/>
          <w:sz w:val="24"/>
          <w:szCs w:val="24"/>
        </w:rPr>
        <w:t>并募集配套资金</w:t>
      </w:r>
      <w:r>
        <w:rPr>
          <w:sz w:val="24"/>
          <w:szCs w:val="24"/>
        </w:rPr>
        <w:t>暨关联交易报告书（草案）</w:t>
      </w:r>
      <w:r>
        <w:rPr>
          <w:rFonts w:hint="eastAsia"/>
          <w:sz w:val="24"/>
          <w:szCs w:val="24"/>
        </w:rPr>
        <w:t>（修订稿）</w:t>
      </w:r>
      <w:r>
        <w:rPr>
          <w:sz w:val="24"/>
          <w:szCs w:val="24"/>
        </w:rPr>
        <w:t>》及《中广核核技术发展股份有限公司发行股份及支付现金购买资产</w:t>
      </w:r>
      <w:r>
        <w:rPr>
          <w:rFonts w:hint="eastAsia"/>
          <w:sz w:val="24"/>
          <w:szCs w:val="24"/>
        </w:rPr>
        <w:t>并募集配套资金</w:t>
      </w:r>
      <w:r>
        <w:rPr>
          <w:sz w:val="24"/>
          <w:szCs w:val="24"/>
        </w:rPr>
        <w:t>暨关联交易报告书（草案）</w:t>
      </w:r>
      <w:r>
        <w:rPr>
          <w:rFonts w:hint="eastAsia"/>
          <w:sz w:val="24"/>
          <w:szCs w:val="24"/>
        </w:rPr>
        <w:t>（修订稿）</w:t>
      </w:r>
      <w:r>
        <w:rPr>
          <w:sz w:val="24"/>
          <w:szCs w:val="24"/>
        </w:rPr>
        <w:t>（摘要）》。</w:t>
      </w:r>
    </w:p>
    <w:p w14:paraId="31DA454B"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1DA12E02"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B6EBB72" w14:textId="77777777" w:rsidR="00000000" w:rsidRDefault="00000000">
      <w:pPr>
        <w:spacing w:before="50" w:after="50" w:line="360" w:lineRule="auto"/>
        <w:ind w:firstLineChars="200" w:firstLine="480"/>
        <w:rPr>
          <w:bCs/>
          <w:sz w:val="24"/>
          <w:szCs w:val="24"/>
        </w:rPr>
      </w:pPr>
      <w:r>
        <w:rPr>
          <w:bCs/>
          <w:sz w:val="24"/>
          <w:szCs w:val="24"/>
        </w:rPr>
        <w:lastRenderedPageBreak/>
        <w:t>表决结果：通过。</w:t>
      </w:r>
    </w:p>
    <w:p w14:paraId="7219F182" w14:textId="77777777" w:rsidR="00000000" w:rsidRDefault="00000000">
      <w:pPr>
        <w:spacing w:line="360" w:lineRule="auto"/>
        <w:ind w:firstLineChars="200" w:firstLine="480"/>
        <w:rPr>
          <w:sz w:val="24"/>
          <w:szCs w:val="24"/>
        </w:rPr>
      </w:pPr>
      <w:r>
        <w:rPr>
          <w:sz w:val="24"/>
          <w:szCs w:val="24"/>
        </w:rPr>
        <w:t>本议案需提交公司股东大会审议。</w:t>
      </w:r>
    </w:p>
    <w:p w14:paraId="6852F40C" w14:textId="77777777" w:rsidR="00000000" w:rsidRDefault="00000000">
      <w:pPr>
        <w:spacing w:before="50" w:after="50" w:line="360" w:lineRule="auto"/>
        <w:ind w:firstLineChars="200" w:firstLine="482"/>
        <w:rPr>
          <w:b/>
          <w:sz w:val="24"/>
          <w:szCs w:val="24"/>
        </w:rPr>
      </w:pPr>
      <w:r>
        <w:rPr>
          <w:b/>
          <w:sz w:val="24"/>
          <w:szCs w:val="24"/>
        </w:rPr>
        <w:t>（十</w:t>
      </w:r>
      <w:r>
        <w:rPr>
          <w:rFonts w:hint="eastAsia"/>
          <w:b/>
          <w:sz w:val="24"/>
          <w:szCs w:val="24"/>
        </w:rPr>
        <w:t>三</w:t>
      </w:r>
      <w:r>
        <w:rPr>
          <w:b/>
          <w:sz w:val="24"/>
          <w:szCs w:val="24"/>
        </w:rPr>
        <w:t>）审议通过《</w:t>
      </w:r>
      <w:r>
        <w:rPr>
          <w:rFonts w:hint="eastAsia"/>
          <w:b/>
          <w:sz w:val="24"/>
          <w:szCs w:val="24"/>
        </w:rPr>
        <w:t>关于与交易对方分别签署附生效条件的</w:t>
      </w:r>
      <w:r>
        <w:rPr>
          <w:rFonts w:hint="eastAsia"/>
          <w:b/>
          <w:sz w:val="24"/>
          <w:szCs w:val="24"/>
        </w:rPr>
        <w:t>&lt;</w:t>
      </w:r>
      <w:r>
        <w:rPr>
          <w:rFonts w:hint="eastAsia"/>
          <w:b/>
          <w:sz w:val="24"/>
          <w:szCs w:val="24"/>
        </w:rPr>
        <w:t>发行股份及支付现金购买资产协议（修订版）</w:t>
      </w:r>
      <w:r>
        <w:rPr>
          <w:rFonts w:hint="eastAsia"/>
          <w:b/>
          <w:sz w:val="24"/>
          <w:szCs w:val="24"/>
        </w:rPr>
        <w:t>&gt;</w:t>
      </w:r>
      <w:r>
        <w:rPr>
          <w:rFonts w:hint="eastAsia"/>
          <w:b/>
          <w:sz w:val="24"/>
          <w:szCs w:val="24"/>
        </w:rPr>
        <w:t>的议案</w:t>
      </w:r>
      <w:r>
        <w:rPr>
          <w:b/>
          <w:sz w:val="24"/>
          <w:szCs w:val="24"/>
        </w:rPr>
        <w:t>》</w:t>
      </w:r>
    </w:p>
    <w:p w14:paraId="516958E2" w14:textId="77777777" w:rsidR="00000000" w:rsidRDefault="00000000">
      <w:pPr>
        <w:spacing w:before="50" w:after="50" w:line="360" w:lineRule="auto"/>
        <w:ind w:firstLineChars="200" w:firstLine="480"/>
        <w:rPr>
          <w:sz w:val="24"/>
          <w:szCs w:val="24"/>
        </w:rPr>
      </w:pPr>
      <w:r>
        <w:rPr>
          <w:sz w:val="24"/>
        </w:rPr>
        <w:t>就本次交易事宜</w:t>
      </w:r>
      <w:r>
        <w:rPr>
          <w:rFonts w:hint="eastAsia"/>
          <w:sz w:val="24"/>
        </w:rPr>
        <w:t>，为保证公司本次交易的顺利进行，充分体现公平、公正的交易原则，</w:t>
      </w:r>
      <w:r>
        <w:rPr>
          <w:sz w:val="24"/>
          <w:szCs w:val="24"/>
        </w:rPr>
        <w:t>董事会同意公司就本次交易事宜</w:t>
      </w:r>
      <w:r>
        <w:rPr>
          <w:rFonts w:hint="eastAsia"/>
          <w:sz w:val="24"/>
          <w:szCs w:val="24"/>
        </w:rPr>
        <w:t>分别</w:t>
      </w:r>
      <w:r>
        <w:rPr>
          <w:sz w:val="24"/>
          <w:szCs w:val="24"/>
        </w:rPr>
        <w:t>与核技术公司</w:t>
      </w:r>
      <w:r>
        <w:rPr>
          <w:rFonts w:hint="eastAsia"/>
          <w:sz w:val="24"/>
          <w:szCs w:val="24"/>
        </w:rPr>
        <w:t>、云科通</w:t>
      </w:r>
      <w:r>
        <w:rPr>
          <w:sz w:val="24"/>
          <w:szCs w:val="24"/>
        </w:rPr>
        <w:t>签署《发行股份</w:t>
      </w:r>
      <w:r>
        <w:rPr>
          <w:rFonts w:hint="eastAsia"/>
          <w:sz w:val="24"/>
          <w:szCs w:val="24"/>
        </w:rPr>
        <w:t>及支付现金</w:t>
      </w:r>
      <w:r>
        <w:rPr>
          <w:sz w:val="24"/>
          <w:szCs w:val="24"/>
        </w:rPr>
        <w:t>购买资产协议</w:t>
      </w:r>
      <w:r>
        <w:rPr>
          <w:rFonts w:hint="eastAsia"/>
          <w:sz w:val="24"/>
          <w:szCs w:val="24"/>
        </w:rPr>
        <w:t>（修订版）</w:t>
      </w:r>
      <w:r>
        <w:rPr>
          <w:sz w:val="24"/>
          <w:szCs w:val="24"/>
        </w:rPr>
        <w:t>》</w:t>
      </w:r>
      <w:r>
        <w:rPr>
          <w:rFonts w:hint="eastAsia"/>
          <w:sz w:val="24"/>
          <w:szCs w:val="24"/>
        </w:rPr>
        <w:t>。</w:t>
      </w:r>
    </w:p>
    <w:p w14:paraId="5183BEDA"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463D887D"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1A9EE57" w14:textId="77777777" w:rsidR="00000000" w:rsidRDefault="00000000">
      <w:pPr>
        <w:spacing w:before="50" w:after="50" w:line="360" w:lineRule="auto"/>
        <w:ind w:firstLineChars="200" w:firstLine="480"/>
        <w:rPr>
          <w:bCs/>
          <w:sz w:val="24"/>
          <w:szCs w:val="24"/>
        </w:rPr>
      </w:pPr>
      <w:r>
        <w:rPr>
          <w:bCs/>
          <w:sz w:val="24"/>
          <w:szCs w:val="24"/>
        </w:rPr>
        <w:t>表决结果：通过。</w:t>
      </w:r>
    </w:p>
    <w:p w14:paraId="2F294BA9" w14:textId="77777777" w:rsidR="00000000" w:rsidRDefault="00000000">
      <w:pPr>
        <w:spacing w:line="360" w:lineRule="auto"/>
        <w:ind w:firstLineChars="200" w:firstLine="480"/>
        <w:rPr>
          <w:sz w:val="24"/>
          <w:szCs w:val="24"/>
        </w:rPr>
      </w:pPr>
      <w:r>
        <w:rPr>
          <w:sz w:val="24"/>
          <w:szCs w:val="24"/>
        </w:rPr>
        <w:t>本议案需提交公司股东大会审议。</w:t>
      </w:r>
    </w:p>
    <w:p w14:paraId="5E4853E1" w14:textId="77777777" w:rsidR="00000000" w:rsidRDefault="00000000">
      <w:pPr>
        <w:spacing w:before="50" w:after="50" w:line="360" w:lineRule="auto"/>
        <w:ind w:firstLineChars="200" w:firstLine="482"/>
        <w:rPr>
          <w:b/>
          <w:sz w:val="24"/>
          <w:szCs w:val="24"/>
        </w:rPr>
      </w:pPr>
      <w:r>
        <w:rPr>
          <w:b/>
          <w:sz w:val="24"/>
          <w:szCs w:val="24"/>
        </w:rPr>
        <w:t>（十</w:t>
      </w:r>
      <w:r>
        <w:rPr>
          <w:rFonts w:hint="eastAsia"/>
          <w:b/>
          <w:sz w:val="24"/>
          <w:szCs w:val="24"/>
        </w:rPr>
        <w:t>四</w:t>
      </w:r>
      <w:r>
        <w:rPr>
          <w:b/>
          <w:sz w:val="24"/>
          <w:szCs w:val="24"/>
        </w:rPr>
        <w:t>）审议通过《</w:t>
      </w:r>
      <w:r>
        <w:rPr>
          <w:rFonts w:hint="eastAsia"/>
          <w:b/>
          <w:sz w:val="24"/>
          <w:szCs w:val="24"/>
        </w:rPr>
        <w:t>关于与中广核核技术应用有限公司签署附生效条件的</w:t>
      </w:r>
      <w:r>
        <w:rPr>
          <w:rFonts w:hint="eastAsia"/>
          <w:b/>
          <w:sz w:val="24"/>
          <w:szCs w:val="24"/>
        </w:rPr>
        <w:t>&lt;</w:t>
      </w:r>
      <w:r>
        <w:rPr>
          <w:rFonts w:hint="eastAsia"/>
          <w:b/>
          <w:sz w:val="24"/>
          <w:szCs w:val="24"/>
        </w:rPr>
        <w:t>股份认购协议</w:t>
      </w:r>
      <w:r>
        <w:rPr>
          <w:rFonts w:hint="eastAsia"/>
          <w:b/>
          <w:sz w:val="24"/>
          <w:szCs w:val="24"/>
        </w:rPr>
        <w:t>&gt;</w:t>
      </w:r>
      <w:r>
        <w:rPr>
          <w:rFonts w:hint="eastAsia"/>
          <w:b/>
          <w:sz w:val="24"/>
          <w:szCs w:val="24"/>
        </w:rPr>
        <w:t>的议案</w:t>
      </w:r>
      <w:r>
        <w:rPr>
          <w:b/>
          <w:sz w:val="24"/>
          <w:szCs w:val="24"/>
        </w:rPr>
        <w:t>》</w:t>
      </w:r>
    </w:p>
    <w:p w14:paraId="17C6D581" w14:textId="77777777" w:rsidR="00000000" w:rsidRDefault="00000000">
      <w:pPr>
        <w:spacing w:before="50" w:after="50" w:line="360" w:lineRule="auto"/>
        <w:ind w:firstLineChars="200" w:firstLine="480"/>
        <w:rPr>
          <w:sz w:val="24"/>
          <w:szCs w:val="24"/>
        </w:rPr>
      </w:pPr>
      <w:r>
        <w:rPr>
          <w:rFonts w:hint="eastAsia"/>
          <w:sz w:val="24"/>
        </w:rPr>
        <w:t>就本次交易事宜，董事会同意公司根据《</w:t>
      </w:r>
      <w:r>
        <w:rPr>
          <w:sz w:val="24"/>
          <w:szCs w:val="24"/>
        </w:rPr>
        <w:t>中华人民共和国</w:t>
      </w:r>
      <w:r>
        <w:rPr>
          <w:rFonts w:hint="eastAsia"/>
          <w:sz w:val="24"/>
        </w:rPr>
        <w:t>民法典》《</w:t>
      </w:r>
      <w:r>
        <w:rPr>
          <w:sz w:val="24"/>
          <w:szCs w:val="24"/>
        </w:rPr>
        <w:t>中华人民共和国</w:t>
      </w:r>
      <w:r>
        <w:rPr>
          <w:rFonts w:hint="eastAsia"/>
          <w:sz w:val="24"/>
        </w:rPr>
        <w:t>公司法》《</w:t>
      </w:r>
      <w:r>
        <w:rPr>
          <w:sz w:val="24"/>
          <w:szCs w:val="24"/>
        </w:rPr>
        <w:t>中华人民共和国</w:t>
      </w:r>
      <w:r>
        <w:rPr>
          <w:rFonts w:hint="eastAsia"/>
          <w:sz w:val="24"/>
        </w:rPr>
        <w:t>证券法》《上市公司证券发行注册管理办法》等法律、行政法规及规范性文件的相关规定</w:t>
      </w:r>
      <w:r>
        <w:rPr>
          <w:sz w:val="24"/>
          <w:szCs w:val="24"/>
        </w:rPr>
        <w:t>与核技术公司签署《</w:t>
      </w:r>
      <w:r>
        <w:rPr>
          <w:rFonts w:hint="eastAsia"/>
          <w:sz w:val="24"/>
          <w:szCs w:val="24"/>
        </w:rPr>
        <w:t>股份认购协议</w:t>
      </w:r>
      <w:r>
        <w:rPr>
          <w:sz w:val="24"/>
          <w:szCs w:val="24"/>
        </w:rPr>
        <w:t>》</w:t>
      </w:r>
      <w:r>
        <w:rPr>
          <w:rFonts w:hint="eastAsia"/>
          <w:sz w:val="24"/>
          <w:szCs w:val="24"/>
        </w:rPr>
        <w:t>。</w:t>
      </w:r>
    </w:p>
    <w:p w14:paraId="41F96585"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17B866E0"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84F64C3" w14:textId="77777777" w:rsidR="00000000" w:rsidRDefault="00000000">
      <w:pPr>
        <w:spacing w:before="50" w:after="50" w:line="360" w:lineRule="auto"/>
        <w:ind w:firstLineChars="200" w:firstLine="480"/>
        <w:rPr>
          <w:bCs/>
          <w:sz w:val="24"/>
          <w:szCs w:val="24"/>
        </w:rPr>
      </w:pPr>
      <w:r>
        <w:rPr>
          <w:bCs/>
          <w:sz w:val="24"/>
          <w:szCs w:val="24"/>
        </w:rPr>
        <w:t>表决结果：通过。</w:t>
      </w:r>
    </w:p>
    <w:p w14:paraId="38D947F6"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02AA67E9" w14:textId="77777777" w:rsidR="00000000" w:rsidRDefault="00000000">
      <w:pPr>
        <w:spacing w:before="50" w:after="50" w:line="360" w:lineRule="auto"/>
        <w:ind w:firstLineChars="200" w:firstLine="482"/>
        <w:rPr>
          <w:rFonts w:hint="eastAsia"/>
          <w:sz w:val="24"/>
          <w:szCs w:val="24"/>
        </w:rPr>
      </w:pPr>
      <w:r>
        <w:rPr>
          <w:b/>
          <w:sz w:val="24"/>
          <w:szCs w:val="24"/>
        </w:rPr>
        <w:t>（十</w:t>
      </w:r>
      <w:r>
        <w:rPr>
          <w:rFonts w:hint="eastAsia"/>
          <w:b/>
          <w:sz w:val="24"/>
          <w:szCs w:val="24"/>
        </w:rPr>
        <w:t>五</w:t>
      </w:r>
      <w:r>
        <w:rPr>
          <w:b/>
          <w:sz w:val="24"/>
          <w:szCs w:val="24"/>
        </w:rPr>
        <w:t>）审议通过《</w:t>
      </w:r>
      <w:r>
        <w:rPr>
          <w:rFonts w:hint="eastAsia"/>
          <w:b/>
          <w:sz w:val="24"/>
          <w:szCs w:val="24"/>
        </w:rPr>
        <w:t>关于解除公司与中广核久源（成都）科技有限公司</w:t>
      </w:r>
      <w:r>
        <w:rPr>
          <w:rFonts w:hint="eastAsia"/>
          <w:b/>
          <w:sz w:val="24"/>
          <w:szCs w:val="24"/>
        </w:rPr>
        <w:t>&lt;</w:t>
      </w:r>
      <w:r>
        <w:rPr>
          <w:rFonts w:hint="eastAsia"/>
          <w:b/>
          <w:sz w:val="24"/>
          <w:szCs w:val="24"/>
        </w:rPr>
        <w:t>购买资产协议</w:t>
      </w:r>
      <w:r>
        <w:rPr>
          <w:rFonts w:hint="eastAsia"/>
          <w:b/>
          <w:sz w:val="24"/>
          <w:szCs w:val="24"/>
        </w:rPr>
        <w:t>&gt;</w:t>
      </w:r>
      <w:r>
        <w:rPr>
          <w:rFonts w:hint="eastAsia"/>
          <w:b/>
          <w:sz w:val="24"/>
          <w:szCs w:val="24"/>
        </w:rPr>
        <w:t>的议案</w:t>
      </w:r>
      <w:r>
        <w:rPr>
          <w:b/>
          <w:sz w:val="24"/>
          <w:szCs w:val="24"/>
        </w:rPr>
        <w:t>》</w:t>
      </w:r>
    </w:p>
    <w:p w14:paraId="5E610A51" w14:textId="77777777" w:rsidR="00000000" w:rsidRDefault="00000000">
      <w:pPr>
        <w:spacing w:before="50" w:after="50" w:line="360" w:lineRule="auto"/>
        <w:ind w:firstLineChars="200" w:firstLine="480"/>
        <w:rPr>
          <w:sz w:val="24"/>
        </w:rPr>
      </w:pPr>
      <w:r>
        <w:rPr>
          <w:rFonts w:hint="eastAsia"/>
          <w:sz w:val="24"/>
        </w:rPr>
        <w:t>就原交易方案项下公司拟收购成都久源持有的贝谷科技</w:t>
      </w:r>
      <w:r>
        <w:rPr>
          <w:rFonts w:hint="eastAsia"/>
          <w:sz w:val="24"/>
        </w:rPr>
        <w:t>21%</w:t>
      </w:r>
      <w:r>
        <w:rPr>
          <w:rFonts w:hint="eastAsia"/>
          <w:sz w:val="24"/>
        </w:rPr>
        <w:t>的股权事项，董事会同意与成都久源解除双方于</w:t>
      </w:r>
      <w:r>
        <w:rPr>
          <w:rFonts w:hint="eastAsia"/>
          <w:sz w:val="24"/>
        </w:rPr>
        <w:t>2022</w:t>
      </w:r>
      <w:r>
        <w:rPr>
          <w:rFonts w:hint="eastAsia"/>
          <w:sz w:val="24"/>
        </w:rPr>
        <w:t>年</w:t>
      </w:r>
      <w:r>
        <w:rPr>
          <w:rFonts w:hint="eastAsia"/>
          <w:sz w:val="24"/>
        </w:rPr>
        <w:t>6</w:t>
      </w:r>
      <w:r>
        <w:rPr>
          <w:rFonts w:hint="eastAsia"/>
          <w:sz w:val="24"/>
        </w:rPr>
        <w:t>月</w:t>
      </w:r>
      <w:r>
        <w:rPr>
          <w:rFonts w:hint="eastAsia"/>
          <w:sz w:val="24"/>
        </w:rPr>
        <w:t>29</w:t>
      </w:r>
      <w:r>
        <w:rPr>
          <w:rFonts w:hint="eastAsia"/>
          <w:sz w:val="24"/>
        </w:rPr>
        <w:t>日在深圳签署附条件生效的《购买资产协议》。双方确认《购买资产协议》解除后，自始无效，双方各自承担因</w:t>
      </w:r>
      <w:r>
        <w:rPr>
          <w:rFonts w:hint="eastAsia"/>
          <w:sz w:val="24"/>
        </w:rPr>
        <w:lastRenderedPageBreak/>
        <w:t>签署及准备履行《购买资产协议》所支付之费用，且双方互不承担任何责任。</w:t>
      </w:r>
    </w:p>
    <w:p w14:paraId="4BD5B9DE"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61484E77"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2DF71CC0" w14:textId="77777777" w:rsidR="00000000" w:rsidRDefault="00000000">
      <w:pPr>
        <w:spacing w:before="50" w:after="50" w:line="360" w:lineRule="auto"/>
        <w:ind w:firstLineChars="200" w:firstLine="480"/>
        <w:rPr>
          <w:bCs/>
          <w:sz w:val="24"/>
          <w:szCs w:val="24"/>
        </w:rPr>
      </w:pPr>
      <w:r>
        <w:rPr>
          <w:bCs/>
          <w:sz w:val="24"/>
          <w:szCs w:val="24"/>
        </w:rPr>
        <w:t>表决结果：通过。</w:t>
      </w:r>
    </w:p>
    <w:p w14:paraId="7C16AC57" w14:textId="77777777" w:rsidR="00000000" w:rsidRDefault="00000000">
      <w:pPr>
        <w:spacing w:before="50" w:after="50" w:line="360" w:lineRule="auto"/>
        <w:ind w:firstLineChars="200" w:firstLine="480"/>
        <w:rPr>
          <w:sz w:val="24"/>
        </w:rPr>
      </w:pPr>
      <w:r>
        <w:rPr>
          <w:sz w:val="24"/>
          <w:szCs w:val="24"/>
        </w:rPr>
        <w:t>本议案需提交公司股东大会审议。</w:t>
      </w:r>
    </w:p>
    <w:p w14:paraId="0CDE8776" w14:textId="77777777" w:rsidR="00000000" w:rsidRDefault="00000000">
      <w:pPr>
        <w:spacing w:before="50" w:after="50" w:line="360" w:lineRule="auto"/>
        <w:ind w:firstLineChars="200" w:firstLine="482"/>
        <w:rPr>
          <w:sz w:val="24"/>
        </w:rPr>
      </w:pPr>
      <w:r>
        <w:rPr>
          <w:b/>
          <w:sz w:val="24"/>
          <w:szCs w:val="24"/>
        </w:rPr>
        <w:t>（十</w:t>
      </w:r>
      <w:r>
        <w:rPr>
          <w:rFonts w:hint="eastAsia"/>
          <w:b/>
          <w:sz w:val="24"/>
          <w:szCs w:val="24"/>
        </w:rPr>
        <w:t>六</w:t>
      </w:r>
      <w:r>
        <w:rPr>
          <w:b/>
          <w:sz w:val="24"/>
          <w:szCs w:val="24"/>
        </w:rPr>
        <w:t>）审议通过《</w:t>
      </w:r>
      <w:r>
        <w:rPr>
          <w:rFonts w:hint="eastAsia"/>
          <w:b/>
          <w:sz w:val="24"/>
          <w:szCs w:val="24"/>
        </w:rPr>
        <w:t>关于本次交易履行法定程序的完备性、合规性及提交法律文件的有效性的说明的议案</w:t>
      </w:r>
      <w:r>
        <w:rPr>
          <w:b/>
          <w:sz w:val="24"/>
          <w:szCs w:val="24"/>
        </w:rPr>
        <w:t>》</w:t>
      </w:r>
    </w:p>
    <w:p w14:paraId="4FFF651A" w14:textId="77777777" w:rsidR="00000000" w:rsidRDefault="00000000">
      <w:pPr>
        <w:spacing w:before="50" w:after="50" w:line="360" w:lineRule="auto"/>
        <w:ind w:firstLineChars="200" w:firstLine="480"/>
        <w:rPr>
          <w:sz w:val="24"/>
          <w:szCs w:val="24"/>
        </w:rPr>
      </w:pPr>
      <w:r>
        <w:rPr>
          <w:sz w:val="24"/>
          <w:szCs w:val="24"/>
        </w:rPr>
        <w:t>公司董事会认为，公司现阶段就本次交易履行的法定程序完整，符合相关法律法规、部门规章、规范性文件及公司章程的规定；公司本次向深圳证券交易所</w:t>
      </w:r>
      <w:r>
        <w:rPr>
          <w:rFonts w:hint="eastAsia"/>
          <w:sz w:val="24"/>
          <w:szCs w:val="24"/>
        </w:rPr>
        <w:t>（以下简称“深交所”）</w:t>
      </w:r>
      <w:r>
        <w:rPr>
          <w:sz w:val="24"/>
          <w:szCs w:val="24"/>
        </w:rPr>
        <w:t>提交的法律文件合法有效。公司董事会及全体董事保证公司就本次交易所提交的法律文件不存在任何虚假记载、误导性陈述或者重大遗漏，并对提交法律文件的真实性、准确性、完整性承担个别及连带责任。具体内容详见与本公告同日发布的</w:t>
      </w:r>
      <w:r>
        <w:rPr>
          <w:rFonts w:hint="eastAsia"/>
          <w:sz w:val="24"/>
          <w:szCs w:val="24"/>
        </w:rPr>
        <w:t>《董事会关于本次交易履行法定程序的完备性、合规性及提交的法律文件的有效性的说明》。</w:t>
      </w:r>
    </w:p>
    <w:p w14:paraId="13D668DF"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2381DEFF"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4854A804" w14:textId="77777777" w:rsidR="00000000" w:rsidRDefault="00000000">
      <w:pPr>
        <w:spacing w:before="50" w:after="50" w:line="360" w:lineRule="auto"/>
        <w:ind w:firstLineChars="200" w:firstLine="480"/>
        <w:rPr>
          <w:bCs/>
          <w:sz w:val="24"/>
          <w:szCs w:val="24"/>
        </w:rPr>
      </w:pPr>
      <w:r>
        <w:rPr>
          <w:bCs/>
          <w:sz w:val="24"/>
          <w:szCs w:val="24"/>
        </w:rPr>
        <w:t>表决结果：通过。</w:t>
      </w:r>
    </w:p>
    <w:p w14:paraId="72BE70F3"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0F000FC5" w14:textId="77777777" w:rsidR="00000000" w:rsidRDefault="00000000">
      <w:pPr>
        <w:spacing w:before="50" w:after="50" w:line="360" w:lineRule="auto"/>
        <w:ind w:firstLineChars="200" w:firstLine="482"/>
        <w:rPr>
          <w:b/>
          <w:sz w:val="24"/>
          <w:szCs w:val="24"/>
        </w:rPr>
      </w:pPr>
      <w:r>
        <w:rPr>
          <w:b/>
          <w:sz w:val="24"/>
          <w:szCs w:val="24"/>
        </w:rPr>
        <w:t>（十</w:t>
      </w:r>
      <w:r>
        <w:rPr>
          <w:rFonts w:hint="eastAsia"/>
          <w:b/>
          <w:sz w:val="24"/>
          <w:szCs w:val="24"/>
        </w:rPr>
        <w:t>七</w:t>
      </w:r>
      <w:r>
        <w:rPr>
          <w:b/>
          <w:sz w:val="24"/>
          <w:szCs w:val="24"/>
        </w:rPr>
        <w:t>）审议通过《关于批准本次交易有关审计报告、备考审阅报告、评估报告的议案》</w:t>
      </w:r>
    </w:p>
    <w:p w14:paraId="1069A4DA" w14:textId="77777777" w:rsidR="00000000" w:rsidRDefault="00000000">
      <w:pPr>
        <w:spacing w:before="50" w:after="50" w:line="360" w:lineRule="auto"/>
        <w:ind w:firstLineChars="200" w:firstLine="480"/>
        <w:rPr>
          <w:sz w:val="24"/>
          <w:szCs w:val="24"/>
        </w:rPr>
      </w:pPr>
      <w:r>
        <w:rPr>
          <w:sz w:val="24"/>
          <w:szCs w:val="24"/>
        </w:rPr>
        <w:t>根据《上市公司重大资产重组管理办法》的规定，为本次交易之目的，</w:t>
      </w:r>
      <w:r>
        <w:rPr>
          <w:sz w:val="24"/>
        </w:rPr>
        <w:t>公司聘请信永中和会计师事务所（特殊普通合伙）</w:t>
      </w:r>
      <w:r>
        <w:rPr>
          <w:rFonts w:hint="eastAsia"/>
          <w:sz w:val="24"/>
        </w:rPr>
        <w:t>对公司拟收购的标的公司贝谷科技出具了专项审计报告，聘请</w:t>
      </w:r>
      <w:r>
        <w:rPr>
          <w:sz w:val="24"/>
        </w:rPr>
        <w:t>中发国际资产评估有限公司</w:t>
      </w:r>
      <w:r>
        <w:rPr>
          <w:rFonts w:hint="eastAsia"/>
          <w:sz w:val="24"/>
        </w:rPr>
        <w:t>对贝谷科技的全部股东权益价值出具了资产评估报告，并聘请立信会计师事务所（特殊普通合伙）对上市公司出具了备考财务报表审阅报告，</w:t>
      </w:r>
      <w:r>
        <w:rPr>
          <w:rFonts w:hint="eastAsia"/>
          <w:sz w:val="24"/>
          <w:szCs w:val="24"/>
        </w:rPr>
        <w:t>具体请见本公告同日发布的公告</w:t>
      </w:r>
      <w:r>
        <w:rPr>
          <w:rFonts w:hint="eastAsia"/>
          <w:sz w:val="24"/>
        </w:rPr>
        <w:t>。</w:t>
      </w:r>
    </w:p>
    <w:p w14:paraId="3FE60015" w14:textId="77777777" w:rsidR="00000000" w:rsidRDefault="00000000">
      <w:pPr>
        <w:spacing w:before="50" w:after="50" w:line="360" w:lineRule="auto"/>
        <w:ind w:firstLineChars="200" w:firstLine="480"/>
        <w:rPr>
          <w:sz w:val="24"/>
          <w:szCs w:val="24"/>
        </w:rPr>
      </w:pPr>
      <w:r>
        <w:rPr>
          <w:sz w:val="24"/>
          <w:szCs w:val="24"/>
        </w:rPr>
        <w:lastRenderedPageBreak/>
        <w:t>上述中介机构均已按照相关主管部门要求进行了证券服务机构从事证券服</w:t>
      </w:r>
      <w:r>
        <w:rPr>
          <w:sz w:val="24"/>
          <w:szCs w:val="24"/>
        </w:rPr>
        <w:t xml:space="preserve"> </w:t>
      </w:r>
      <w:r>
        <w:rPr>
          <w:sz w:val="24"/>
          <w:szCs w:val="24"/>
        </w:rPr>
        <w:t>务业务备案，公司董事会</w:t>
      </w:r>
      <w:r>
        <w:rPr>
          <w:rFonts w:hint="eastAsia"/>
          <w:sz w:val="24"/>
          <w:szCs w:val="24"/>
        </w:rPr>
        <w:t>同意</w:t>
      </w:r>
      <w:r>
        <w:rPr>
          <w:sz w:val="24"/>
          <w:szCs w:val="24"/>
        </w:rPr>
        <w:t>批准将前述文件用于本次交易的信息披露和作为向监管部门提交的申报材料。</w:t>
      </w:r>
    </w:p>
    <w:p w14:paraId="759E0B01"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4B191C59"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D616D42" w14:textId="77777777" w:rsidR="00000000" w:rsidRDefault="00000000">
      <w:pPr>
        <w:spacing w:before="50" w:after="50" w:line="360" w:lineRule="auto"/>
        <w:ind w:firstLineChars="200" w:firstLine="480"/>
        <w:rPr>
          <w:bCs/>
          <w:sz w:val="24"/>
          <w:szCs w:val="24"/>
        </w:rPr>
      </w:pPr>
      <w:r>
        <w:rPr>
          <w:bCs/>
          <w:sz w:val="24"/>
          <w:szCs w:val="24"/>
        </w:rPr>
        <w:t>表决结果：通过。</w:t>
      </w:r>
    </w:p>
    <w:p w14:paraId="3DA9382C"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1FDCB67F" w14:textId="77777777" w:rsidR="00000000" w:rsidRDefault="00000000">
      <w:pPr>
        <w:spacing w:before="50" w:after="50" w:line="360" w:lineRule="auto"/>
        <w:ind w:firstLineChars="200" w:firstLine="482"/>
        <w:rPr>
          <w:b/>
          <w:sz w:val="24"/>
          <w:szCs w:val="24"/>
        </w:rPr>
      </w:pPr>
      <w:r>
        <w:rPr>
          <w:b/>
          <w:sz w:val="24"/>
          <w:szCs w:val="24"/>
        </w:rPr>
        <w:t>（十</w:t>
      </w:r>
      <w:r>
        <w:rPr>
          <w:rFonts w:hint="eastAsia"/>
          <w:b/>
          <w:sz w:val="24"/>
          <w:szCs w:val="24"/>
        </w:rPr>
        <w:t>八</w:t>
      </w:r>
      <w:r>
        <w:rPr>
          <w:b/>
          <w:sz w:val="24"/>
          <w:szCs w:val="24"/>
        </w:rPr>
        <w:t>）审议通过《关于评估机构的独立性、评估假设前提的合理性、评估方法与评估目的的相关性以及评估定价的公允性的议案》</w:t>
      </w:r>
    </w:p>
    <w:p w14:paraId="7151D6B0" w14:textId="77777777" w:rsidR="00000000" w:rsidRDefault="00000000">
      <w:pPr>
        <w:spacing w:before="50" w:after="50" w:line="360" w:lineRule="auto"/>
        <w:ind w:firstLineChars="200" w:firstLine="480"/>
        <w:rPr>
          <w:sz w:val="24"/>
          <w:szCs w:val="24"/>
        </w:rPr>
      </w:pPr>
      <w:r>
        <w:rPr>
          <w:sz w:val="24"/>
          <w:szCs w:val="24"/>
        </w:rPr>
        <w:t>公司董事会认为，公司就本次交易所选聘的评估机构具有独立性，评估假设前提合理，评估方法与评估目的相关性强，出具的资产评估报告的评估结论合理，评估定价公允</w:t>
      </w:r>
      <w:r>
        <w:rPr>
          <w:rFonts w:hint="eastAsia"/>
          <w:sz w:val="24"/>
          <w:szCs w:val="24"/>
        </w:rPr>
        <w:t>。</w:t>
      </w:r>
      <w:r>
        <w:rPr>
          <w:sz w:val="24"/>
          <w:szCs w:val="24"/>
        </w:rPr>
        <w:t>具体内容详见与本公告同日发布的《董事会关于评估机构的独立性、评估假设前提的合理性、评估方法与评估目的的相关性以及评估定价公允性的说明》。</w:t>
      </w:r>
    </w:p>
    <w:p w14:paraId="6BA612C0"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5D2A307B"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3692CBB5" w14:textId="77777777" w:rsidR="00000000" w:rsidRDefault="00000000">
      <w:pPr>
        <w:spacing w:before="50" w:after="50" w:line="360" w:lineRule="auto"/>
        <w:ind w:firstLineChars="200" w:firstLine="480"/>
        <w:rPr>
          <w:bCs/>
          <w:sz w:val="24"/>
          <w:szCs w:val="24"/>
        </w:rPr>
      </w:pPr>
      <w:r>
        <w:rPr>
          <w:bCs/>
          <w:sz w:val="24"/>
          <w:szCs w:val="24"/>
        </w:rPr>
        <w:t>表决结果：通过。</w:t>
      </w:r>
    </w:p>
    <w:p w14:paraId="389D9D3F"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11A64019" w14:textId="77777777" w:rsidR="00000000" w:rsidRDefault="00000000">
      <w:pPr>
        <w:spacing w:before="50" w:after="50" w:line="360" w:lineRule="auto"/>
        <w:ind w:firstLineChars="200" w:firstLine="482"/>
        <w:rPr>
          <w:b/>
          <w:sz w:val="24"/>
          <w:szCs w:val="24"/>
        </w:rPr>
      </w:pPr>
      <w:r>
        <w:rPr>
          <w:b/>
          <w:sz w:val="24"/>
          <w:szCs w:val="24"/>
        </w:rPr>
        <w:t>（十</w:t>
      </w:r>
      <w:r>
        <w:rPr>
          <w:rFonts w:hint="eastAsia"/>
          <w:b/>
          <w:sz w:val="24"/>
          <w:szCs w:val="24"/>
        </w:rPr>
        <w:t>九</w:t>
      </w:r>
      <w:r>
        <w:rPr>
          <w:b/>
          <w:sz w:val="24"/>
          <w:szCs w:val="24"/>
        </w:rPr>
        <w:t>）审议通过《关于本次交易定价的依据及公平合理性说明的议案》</w:t>
      </w:r>
    </w:p>
    <w:p w14:paraId="31F5BA20" w14:textId="77777777" w:rsidR="00000000" w:rsidRDefault="00000000">
      <w:pPr>
        <w:spacing w:before="50" w:after="50" w:line="360" w:lineRule="auto"/>
        <w:ind w:firstLineChars="200" w:firstLine="480"/>
        <w:rPr>
          <w:sz w:val="24"/>
          <w:szCs w:val="24"/>
        </w:rPr>
      </w:pPr>
      <w:r>
        <w:rPr>
          <w:rFonts w:hint="eastAsia"/>
          <w:sz w:val="24"/>
        </w:rPr>
        <w:t>本次交易标的股权的转让价款以国家出资企业备案的评估值为基础进行计算，标的资产定价合理。</w:t>
      </w:r>
      <w:r>
        <w:rPr>
          <w:sz w:val="24"/>
        </w:rPr>
        <w:t>本次交易项下发行股份购买资产</w:t>
      </w:r>
      <w:r>
        <w:rPr>
          <w:rFonts w:hint="eastAsia"/>
          <w:sz w:val="24"/>
        </w:rPr>
        <w:t>及募集配套资金</w:t>
      </w:r>
      <w:r>
        <w:rPr>
          <w:sz w:val="24"/>
        </w:rPr>
        <w:t>的发行价格按照相关法律法规确定，遵循了公开、公平、公正的原则，交易定价公允、合理、程序公正，不存在损害公司及股东利益的情形。</w:t>
      </w:r>
      <w:r>
        <w:rPr>
          <w:sz w:val="24"/>
          <w:szCs w:val="24"/>
        </w:rPr>
        <w:t>具体内容详见与本公告同日发布的《</w:t>
      </w:r>
      <w:r>
        <w:rPr>
          <w:rFonts w:hint="eastAsia"/>
          <w:sz w:val="24"/>
          <w:szCs w:val="24"/>
        </w:rPr>
        <w:t>董事会关于本次交易定价的依据及公平合理性的说明</w:t>
      </w:r>
      <w:r>
        <w:rPr>
          <w:sz w:val="24"/>
          <w:szCs w:val="24"/>
        </w:rPr>
        <w:t>》。</w:t>
      </w:r>
    </w:p>
    <w:p w14:paraId="3AF23C8F"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w:t>
      </w:r>
      <w:r>
        <w:rPr>
          <w:bCs/>
          <w:sz w:val="24"/>
          <w:szCs w:val="24"/>
        </w:rPr>
        <w:lastRenderedPageBreak/>
        <w:t>其他非关联董事同意本议案。</w:t>
      </w:r>
    </w:p>
    <w:p w14:paraId="7A0A191B"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707214DF" w14:textId="77777777" w:rsidR="00000000" w:rsidRDefault="00000000">
      <w:pPr>
        <w:spacing w:before="50" w:after="50" w:line="360" w:lineRule="auto"/>
        <w:ind w:firstLineChars="200" w:firstLine="480"/>
        <w:rPr>
          <w:bCs/>
          <w:sz w:val="24"/>
          <w:szCs w:val="24"/>
        </w:rPr>
      </w:pPr>
      <w:r>
        <w:rPr>
          <w:bCs/>
          <w:sz w:val="24"/>
          <w:szCs w:val="24"/>
        </w:rPr>
        <w:t>表决结果：通过。</w:t>
      </w:r>
    </w:p>
    <w:p w14:paraId="639796C9"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49808CE3" w14:textId="77777777" w:rsidR="00000000" w:rsidRDefault="00000000">
      <w:pPr>
        <w:spacing w:before="50" w:after="50" w:line="360" w:lineRule="auto"/>
        <w:ind w:firstLineChars="200" w:firstLine="482"/>
        <w:rPr>
          <w:b/>
          <w:sz w:val="24"/>
          <w:szCs w:val="24"/>
        </w:rPr>
      </w:pPr>
      <w:r>
        <w:rPr>
          <w:b/>
          <w:sz w:val="24"/>
          <w:szCs w:val="24"/>
        </w:rPr>
        <w:t>（</w:t>
      </w:r>
      <w:r>
        <w:rPr>
          <w:rFonts w:hint="eastAsia"/>
          <w:b/>
          <w:sz w:val="24"/>
          <w:szCs w:val="24"/>
        </w:rPr>
        <w:t>二十</w:t>
      </w:r>
      <w:r>
        <w:rPr>
          <w:b/>
          <w:sz w:val="24"/>
          <w:szCs w:val="24"/>
        </w:rPr>
        <w:t>）审议通过《关于本次交易摊薄即期回报的填补措施及承诺事项的议案》</w:t>
      </w:r>
    </w:p>
    <w:p w14:paraId="63A9C192" w14:textId="77777777" w:rsidR="00000000" w:rsidRDefault="00000000">
      <w:pPr>
        <w:spacing w:before="50" w:after="50" w:line="360" w:lineRule="auto"/>
        <w:ind w:firstLineChars="200" w:firstLine="480"/>
        <w:rPr>
          <w:sz w:val="24"/>
          <w:szCs w:val="24"/>
        </w:rPr>
      </w:pPr>
      <w:r>
        <w:rPr>
          <w:sz w:val="24"/>
          <w:szCs w:val="24"/>
        </w:rPr>
        <w:t>根据《国务院办公厅关于进一步加强资本市场中小投资者合法权益保护管制的意见》（国办发【</w:t>
      </w:r>
      <w:r>
        <w:rPr>
          <w:sz w:val="24"/>
          <w:szCs w:val="24"/>
        </w:rPr>
        <w:t>2013</w:t>
      </w:r>
      <w:r>
        <w:rPr>
          <w:sz w:val="24"/>
          <w:szCs w:val="24"/>
        </w:rPr>
        <w:t>】</w:t>
      </w:r>
      <w:r>
        <w:rPr>
          <w:sz w:val="24"/>
          <w:szCs w:val="24"/>
        </w:rPr>
        <w:t>11</w:t>
      </w:r>
      <w:r>
        <w:rPr>
          <w:sz w:val="24"/>
          <w:szCs w:val="24"/>
        </w:rPr>
        <w:t>号）、《国务院关于进一步促进资本市场健康发展的若干意见》（国发【</w:t>
      </w:r>
      <w:r>
        <w:rPr>
          <w:sz w:val="24"/>
          <w:szCs w:val="24"/>
        </w:rPr>
        <w:t>2014</w:t>
      </w:r>
      <w:r>
        <w:rPr>
          <w:sz w:val="24"/>
          <w:szCs w:val="24"/>
        </w:rPr>
        <w:t>】</w:t>
      </w:r>
      <w:r>
        <w:rPr>
          <w:sz w:val="24"/>
          <w:szCs w:val="24"/>
        </w:rPr>
        <w:t>17</w:t>
      </w:r>
      <w:r>
        <w:rPr>
          <w:sz w:val="24"/>
          <w:szCs w:val="24"/>
        </w:rPr>
        <w:t>号）和《关于首发及再融资、重大资产摊薄即期回报有关事项的指导意见》（证监会公告【</w:t>
      </w:r>
      <w:r>
        <w:rPr>
          <w:sz w:val="24"/>
          <w:szCs w:val="24"/>
        </w:rPr>
        <w:t>2015</w:t>
      </w:r>
      <w:r>
        <w:rPr>
          <w:sz w:val="24"/>
          <w:szCs w:val="24"/>
        </w:rPr>
        <w:t>】</w:t>
      </w:r>
      <w:r>
        <w:rPr>
          <w:sz w:val="24"/>
          <w:szCs w:val="24"/>
        </w:rPr>
        <w:t>31</w:t>
      </w:r>
      <w:r>
        <w:rPr>
          <w:sz w:val="24"/>
          <w:szCs w:val="24"/>
        </w:rPr>
        <w:t>号）等有关规定，公司就本次交易对即期回报摊薄的影响进行了分析，制定了相关措施并出具相关承诺</w:t>
      </w:r>
      <w:r>
        <w:rPr>
          <w:rFonts w:hint="eastAsia"/>
          <w:sz w:val="24"/>
          <w:szCs w:val="24"/>
        </w:rPr>
        <w:t>；公司董事、高级管理人员、公司控股股东及实际控制人亦对公司本次交易摊薄即期回报采取填补措施做出了相应承诺。</w:t>
      </w:r>
      <w:r>
        <w:rPr>
          <w:sz w:val="24"/>
          <w:szCs w:val="24"/>
        </w:rPr>
        <w:t>具体内容详见与本公告同日发布的</w:t>
      </w:r>
      <w:r>
        <w:rPr>
          <w:rFonts w:hint="eastAsia"/>
          <w:sz w:val="24"/>
          <w:szCs w:val="24"/>
        </w:rPr>
        <w:t>《董事会关于本次交易摊薄即期回报采取填补措施及承诺事项的说明》。</w:t>
      </w:r>
    </w:p>
    <w:p w14:paraId="0273E778"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33838983"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583F32CB" w14:textId="77777777" w:rsidR="00000000" w:rsidRDefault="00000000">
      <w:pPr>
        <w:spacing w:before="50" w:after="50" w:line="360" w:lineRule="auto"/>
        <w:ind w:firstLineChars="200" w:firstLine="480"/>
        <w:rPr>
          <w:bCs/>
          <w:sz w:val="24"/>
          <w:szCs w:val="24"/>
        </w:rPr>
      </w:pPr>
      <w:r>
        <w:rPr>
          <w:bCs/>
          <w:sz w:val="24"/>
          <w:szCs w:val="24"/>
        </w:rPr>
        <w:t>表决结果：通过。</w:t>
      </w:r>
    </w:p>
    <w:p w14:paraId="0B8C7C2D"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27848970" w14:textId="77777777" w:rsidR="00000000" w:rsidRDefault="00000000">
      <w:pPr>
        <w:spacing w:before="50" w:after="50" w:line="360" w:lineRule="auto"/>
        <w:ind w:firstLineChars="200" w:firstLine="482"/>
        <w:rPr>
          <w:b/>
          <w:sz w:val="24"/>
          <w:szCs w:val="24"/>
        </w:rPr>
      </w:pPr>
      <w:r>
        <w:rPr>
          <w:b/>
          <w:sz w:val="24"/>
          <w:szCs w:val="24"/>
        </w:rPr>
        <w:t>（</w:t>
      </w:r>
      <w:r>
        <w:rPr>
          <w:rFonts w:hint="eastAsia"/>
          <w:b/>
          <w:sz w:val="24"/>
          <w:szCs w:val="24"/>
        </w:rPr>
        <w:t>二十一</w:t>
      </w:r>
      <w:r>
        <w:rPr>
          <w:b/>
          <w:sz w:val="24"/>
          <w:szCs w:val="24"/>
        </w:rPr>
        <w:t>）审议通过《</w:t>
      </w:r>
      <w:r>
        <w:rPr>
          <w:rFonts w:hint="eastAsia"/>
          <w:b/>
          <w:sz w:val="24"/>
          <w:szCs w:val="24"/>
        </w:rPr>
        <w:t>关于本次交易前</w:t>
      </w:r>
      <w:r>
        <w:rPr>
          <w:rFonts w:hint="eastAsia"/>
          <w:b/>
          <w:sz w:val="24"/>
          <w:szCs w:val="24"/>
        </w:rPr>
        <w:t>12</w:t>
      </w:r>
      <w:r>
        <w:rPr>
          <w:rFonts w:hint="eastAsia"/>
          <w:b/>
          <w:sz w:val="24"/>
          <w:szCs w:val="24"/>
        </w:rPr>
        <w:t>个月内购买、出售资产情况的说明的议案</w:t>
      </w:r>
      <w:r>
        <w:rPr>
          <w:b/>
          <w:sz w:val="24"/>
          <w:szCs w:val="24"/>
        </w:rPr>
        <w:t>》</w:t>
      </w:r>
    </w:p>
    <w:p w14:paraId="22996548" w14:textId="77777777" w:rsidR="00000000" w:rsidRDefault="00000000">
      <w:pPr>
        <w:spacing w:before="50" w:after="50" w:line="360" w:lineRule="auto"/>
        <w:ind w:firstLineChars="200" w:firstLine="480"/>
        <w:rPr>
          <w:sz w:val="24"/>
          <w:szCs w:val="24"/>
        </w:rPr>
      </w:pPr>
      <w:r>
        <w:rPr>
          <w:rFonts w:hint="eastAsia"/>
          <w:sz w:val="24"/>
          <w:szCs w:val="24"/>
        </w:rPr>
        <w:t>截至本次会议召开之日，公司最近</w:t>
      </w:r>
      <w:r>
        <w:rPr>
          <w:rFonts w:hint="eastAsia"/>
          <w:sz w:val="24"/>
          <w:szCs w:val="24"/>
        </w:rPr>
        <w:t>12</w:t>
      </w:r>
      <w:r>
        <w:rPr>
          <w:rFonts w:hint="eastAsia"/>
          <w:sz w:val="24"/>
          <w:szCs w:val="24"/>
        </w:rPr>
        <w:t>个月内不存在其他与本次交易相关的购买、出售资产事项。</w:t>
      </w:r>
      <w:r>
        <w:rPr>
          <w:sz w:val="24"/>
          <w:szCs w:val="24"/>
        </w:rPr>
        <w:t>具体内容详见与本公告同日发布的</w:t>
      </w:r>
      <w:r>
        <w:rPr>
          <w:rFonts w:hint="eastAsia"/>
          <w:sz w:val="24"/>
          <w:szCs w:val="24"/>
        </w:rPr>
        <w:t>《董事会关于本次交易前十二个月内购买、出售资产的说明》。</w:t>
      </w:r>
    </w:p>
    <w:p w14:paraId="71CF3B98"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362E1827"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2161533B" w14:textId="77777777" w:rsidR="00000000" w:rsidRDefault="00000000">
      <w:pPr>
        <w:spacing w:before="50" w:after="50" w:line="360" w:lineRule="auto"/>
        <w:ind w:firstLineChars="200" w:firstLine="480"/>
        <w:rPr>
          <w:bCs/>
          <w:sz w:val="24"/>
          <w:szCs w:val="24"/>
        </w:rPr>
      </w:pPr>
      <w:r>
        <w:rPr>
          <w:bCs/>
          <w:sz w:val="24"/>
          <w:szCs w:val="24"/>
        </w:rPr>
        <w:lastRenderedPageBreak/>
        <w:t>表决结果：通过。</w:t>
      </w:r>
    </w:p>
    <w:p w14:paraId="2DC2C7B7"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247483AF" w14:textId="77777777" w:rsidR="00000000" w:rsidRDefault="00000000">
      <w:pPr>
        <w:spacing w:before="50" w:after="50" w:line="360" w:lineRule="auto"/>
        <w:ind w:firstLineChars="200" w:firstLine="482"/>
        <w:rPr>
          <w:rFonts w:hint="eastAsia"/>
          <w:b/>
          <w:sz w:val="24"/>
          <w:szCs w:val="24"/>
        </w:rPr>
      </w:pPr>
      <w:r>
        <w:rPr>
          <w:rFonts w:hint="eastAsia"/>
          <w:b/>
          <w:sz w:val="24"/>
          <w:szCs w:val="24"/>
        </w:rPr>
        <w:t>（二十二）</w:t>
      </w:r>
      <w:r>
        <w:rPr>
          <w:b/>
          <w:sz w:val="24"/>
          <w:szCs w:val="24"/>
        </w:rPr>
        <w:t>审议通过《</w:t>
      </w:r>
      <w:r>
        <w:rPr>
          <w:rFonts w:hint="eastAsia"/>
          <w:b/>
          <w:sz w:val="24"/>
          <w:szCs w:val="24"/>
        </w:rPr>
        <w:t>关于本次交易采取的保密措施及保密制度的说明的议案</w:t>
      </w:r>
      <w:r>
        <w:rPr>
          <w:b/>
          <w:sz w:val="24"/>
          <w:szCs w:val="24"/>
        </w:rPr>
        <w:t>》</w:t>
      </w:r>
    </w:p>
    <w:p w14:paraId="24ECA000" w14:textId="77777777" w:rsidR="00000000" w:rsidRDefault="00000000">
      <w:pPr>
        <w:spacing w:before="50" w:after="50" w:line="360" w:lineRule="auto"/>
        <w:ind w:firstLineChars="200" w:firstLine="480"/>
        <w:rPr>
          <w:sz w:val="24"/>
          <w:szCs w:val="24"/>
        </w:rPr>
      </w:pPr>
      <w:r>
        <w:rPr>
          <w:sz w:val="24"/>
          <w:szCs w:val="28"/>
        </w:rPr>
        <w:t>在本次交易中，公司严格按照中国证监会《上市公司重大资产重组管理办法》等法律法规以及上市公司内部相关制度的要求，与交易对方采取了充分必要的保密措施，制定了严格有效的保密制度，有效做好了股价敏感信息的保密管理工作，未出现股价敏感重大信息泄露等违规行为。</w:t>
      </w:r>
      <w:r>
        <w:rPr>
          <w:sz w:val="24"/>
          <w:szCs w:val="24"/>
        </w:rPr>
        <w:t>具体内容详见与本公告同日发布的</w:t>
      </w:r>
      <w:r>
        <w:rPr>
          <w:rFonts w:hint="eastAsia"/>
          <w:sz w:val="24"/>
          <w:szCs w:val="24"/>
        </w:rPr>
        <w:t>《董事会关于本次交易采取的保密措施及保密制度的说明》。</w:t>
      </w:r>
    </w:p>
    <w:p w14:paraId="24C2E828"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64511D4C"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16DDD37D" w14:textId="77777777" w:rsidR="00000000" w:rsidRDefault="00000000">
      <w:pPr>
        <w:spacing w:before="50" w:after="50" w:line="360" w:lineRule="auto"/>
        <w:ind w:firstLineChars="200" w:firstLine="480"/>
        <w:rPr>
          <w:bCs/>
          <w:sz w:val="24"/>
          <w:szCs w:val="24"/>
        </w:rPr>
      </w:pPr>
      <w:r>
        <w:rPr>
          <w:bCs/>
          <w:sz w:val="24"/>
          <w:szCs w:val="24"/>
        </w:rPr>
        <w:t>表决结果：通过。</w:t>
      </w:r>
    </w:p>
    <w:p w14:paraId="570724F2"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48213D24" w14:textId="77777777" w:rsidR="00000000" w:rsidRDefault="00000000">
      <w:pPr>
        <w:spacing w:before="50" w:after="50" w:line="360" w:lineRule="auto"/>
        <w:ind w:firstLineChars="200" w:firstLine="482"/>
        <w:rPr>
          <w:b/>
          <w:sz w:val="24"/>
          <w:szCs w:val="24"/>
        </w:rPr>
      </w:pPr>
      <w:r>
        <w:rPr>
          <w:rFonts w:hint="eastAsia"/>
          <w:b/>
          <w:sz w:val="24"/>
          <w:szCs w:val="24"/>
        </w:rPr>
        <w:t>（二十三）</w:t>
      </w:r>
      <w:r>
        <w:rPr>
          <w:b/>
          <w:sz w:val="24"/>
          <w:szCs w:val="24"/>
        </w:rPr>
        <w:t>审议通过《</w:t>
      </w:r>
      <w:r>
        <w:rPr>
          <w:rFonts w:hint="eastAsia"/>
          <w:b/>
          <w:bCs/>
          <w:sz w:val="24"/>
          <w:szCs w:val="24"/>
        </w:rPr>
        <w:t>关于本次交易信息发布前公司股票价格波动情况的议案</w:t>
      </w:r>
      <w:r>
        <w:rPr>
          <w:b/>
          <w:sz w:val="24"/>
          <w:szCs w:val="24"/>
        </w:rPr>
        <w:t>》</w:t>
      </w:r>
    </w:p>
    <w:p w14:paraId="3E337721" w14:textId="77777777" w:rsidR="00000000" w:rsidRDefault="00000000">
      <w:pPr>
        <w:spacing w:before="50" w:after="50" w:line="360" w:lineRule="auto"/>
        <w:ind w:firstLineChars="200" w:firstLine="480"/>
        <w:rPr>
          <w:rFonts w:hint="eastAsia"/>
          <w:sz w:val="24"/>
          <w:szCs w:val="24"/>
        </w:rPr>
      </w:pPr>
      <w:r>
        <w:rPr>
          <w:rFonts w:hint="eastAsia"/>
          <w:sz w:val="24"/>
          <w:szCs w:val="24"/>
        </w:rPr>
        <w:t>在剔除同期大盘因素（深圳综指，</w:t>
      </w:r>
      <w:r>
        <w:rPr>
          <w:sz w:val="24"/>
          <w:szCs w:val="24"/>
        </w:rPr>
        <w:t>399106.SZ</w:t>
      </w:r>
      <w:r>
        <w:rPr>
          <w:rFonts w:hint="eastAsia"/>
          <w:sz w:val="24"/>
          <w:szCs w:val="24"/>
        </w:rPr>
        <w:t>）和同期同行业板块（证监会制造业</w:t>
      </w:r>
      <w:r>
        <w:rPr>
          <w:sz w:val="24"/>
          <w:szCs w:val="24"/>
        </w:rPr>
        <w:t>指数</w:t>
      </w:r>
      <w:r>
        <w:rPr>
          <w:rFonts w:hint="eastAsia"/>
          <w:sz w:val="24"/>
          <w:szCs w:val="24"/>
        </w:rPr>
        <w:t>，</w:t>
      </w:r>
      <w:r>
        <w:rPr>
          <w:sz w:val="24"/>
          <w:szCs w:val="24"/>
        </w:rPr>
        <w:t>883020.WI</w:t>
      </w:r>
      <w:r>
        <w:rPr>
          <w:rFonts w:hint="eastAsia"/>
          <w:sz w:val="24"/>
          <w:szCs w:val="24"/>
        </w:rPr>
        <w:t>）因素影响后，公司股价在本次交易停牌前</w:t>
      </w:r>
      <w:r>
        <w:rPr>
          <w:sz w:val="24"/>
          <w:szCs w:val="24"/>
        </w:rPr>
        <w:t>20</w:t>
      </w:r>
      <w:r>
        <w:rPr>
          <w:rFonts w:hint="eastAsia"/>
          <w:sz w:val="24"/>
          <w:szCs w:val="24"/>
        </w:rPr>
        <w:t>个交易日内累计</w:t>
      </w:r>
      <w:r>
        <w:rPr>
          <w:sz w:val="24"/>
          <w:szCs w:val="24"/>
        </w:rPr>
        <w:t>涨跌幅均</w:t>
      </w:r>
      <w:r>
        <w:rPr>
          <w:rFonts w:hint="eastAsia"/>
          <w:sz w:val="24"/>
          <w:szCs w:val="24"/>
        </w:rPr>
        <w:t>未超过</w:t>
      </w:r>
      <w:r>
        <w:rPr>
          <w:sz w:val="24"/>
          <w:szCs w:val="24"/>
        </w:rPr>
        <w:t>20%</w:t>
      </w:r>
      <w:r>
        <w:rPr>
          <w:rFonts w:hint="eastAsia"/>
          <w:sz w:val="24"/>
          <w:szCs w:val="24"/>
        </w:rPr>
        <w:t>。</w:t>
      </w:r>
      <w:r>
        <w:rPr>
          <w:sz w:val="24"/>
          <w:szCs w:val="24"/>
        </w:rPr>
        <w:t>具体内容详见与本公告同日发布的</w:t>
      </w:r>
      <w:r>
        <w:rPr>
          <w:rFonts w:hint="eastAsia"/>
          <w:sz w:val="24"/>
          <w:szCs w:val="24"/>
        </w:rPr>
        <w:t>《</w:t>
      </w:r>
      <w:r>
        <w:rPr>
          <w:sz w:val="24"/>
          <w:szCs w:val="24"/>
        </w:rPr>
        <w:t>董事会关于本次交易信息发布前公司股票价格波动情况的说明</w:t>
      </w:r>
      <w:r>
        <w:rPr>
          <w:rFonts w:hint="eastAsia"/>
          <w:sz w:val="24"/>
          <w:szCs w:val="24"/>
        </w:rPr>
        <w:t>》。</w:t>
      </w:r>
    </w:p>
    <w:p w14:paraId="576DF9CA"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31149B31"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7E927459" w14:textId="77777777" w:rsidR="00000000" w:rsidRDefault="00000000">
      <w:pPr>
        <w:spacing w:before="50" w:after="50" w:line="360" w:lineRule="auto"/>
        <w:ind w:firstLineChars="200" w:firstLine="480"/>
        <w:rPr>
          <w:bCs/>
          <w:sz w:val="24"/>
          <w:szCs w:val="24"/>
        </w:rPr>
      </w:pPr>
      <w:r>
        <w:rPr>
          <w:bCs/>
          <w:sz w:val="24"/>
          <w:szCs w:val="24"/>
        </w:rPr>
        <w:t>表决结果：通过。</w:t>
      </w:r>
    </w:p>
    <w:p w14:paraId="53867A75" w14:textId="77777777" w:rsidR="00000000" w:rsidRDefault="00000000">
      <w:pPr>
        <w:spacing w:before="50" w:after="50" w:line="360" w:lineRule="auto"/>
        <w:ind w:firstLineChars="200" w:firstLine="480"/>
        <w:rPr>
          <w:sz w:val="24"/>
          <w:szCs w:val="24"/>
        </w:rPr>
      </w:pPr>
      <w:r>
        <w:rPr>
          <w:sz w:val="24"/>
          <w:szCs w:val="24"/>
        </w:rPr>
        <w:t>本议案需提交公司股东大会审议。</w:t>
      </w:r>
    </w:p>
    <w:p w14:paraId="6914CBB8" w14:textId="77777777" w:rsidR="00000000" w:rsidRDefault="00000000">
      <w:pPr>
        <w:spacing w:before="50" w:after="50" w:line="360" w:lineRule="auto"/>
        <w:ind w:firstLineChars="200" w:firstLine="482"/>
        <w:rPr>
          <w:sz w:val="24"/>
          <w:szCs w:val="24"/>
        </w:rPr>
      </w:pPr>
      <w:r>
        <w:rPr>
          <w:b/>
          <w:bCs/>
          <w:sz w:val="24"/>
          <w:szCs w:val="24"/>
        </w:rPr>
        <w:t>（</w:t>
      </w:r>
      <w:r>
        <w:rPr>
          <w:rFonts w:hint="eastAsia"/>
          <w:b/>
          <w:bCs/>
          <w:sz w:val="24"/>
          <w:szCs w:val="24"/>
        </w:rPr>
        <w:t>二十四</w:t>
      </w:r>
      <w:r>
        <w:rPr>
          <w:b/>
          <w:bCs/>
          <w:sz w:val="24"/>
          <w:szCs w:val="24"/>
        </w:rPr>
        <w:t>）</w:t>
      </w:r>
      <w:r>
        <w:rPr>
          <w:rFonts w:hint="eastAsia"/>
          <w:b/>
          <w:bCs/>
          <w:sz w:val="24"/>
          <w:szCs w:val="24"/>
        </w:rPr>
        <w:t>审议通过《关于提请股东大会授权董事会全权办理本次交易相关事宜的议案》</w:t>
      </w:r>
    </w:p>
    <w:p w14:paraId="5DD83D4A" w14:textId="77777777" w:rsidR="00000000" w:rsidRDefault="00000000">
      <w:pPr>
        <w:spacing w:before="50" w:after="50" w:line="360" w:lineRule="auto"/>
        <w:ind w:firstLineChars="200" w:firstLine="480"/>
        <w:rPr>
          <w:sz w:val="24"/>
        </w:rPr>
      </w:pPr>
      <w:r>
        <w:rPr>
          <w:sz w:val="24"/>
        </w:rPr>
        <w:lastRenderedPageBreak/>
        <w:t>为保证本次交易有关事宜的顺利进行</w:t>
      </w:r>
      <w:r>
        <w:rPr>
          <w:rFonts w:hint="eastAsia"/>
          <w:sz w:val="24"/>
        </w:rPr>
        <w:t>，提请股东大会同意由公司董事会全权负责办理和决定与本次交易相关的具体事宜，包括但不限于：</w:t>
      </w:r>
    </w:p>
    <w:p w14:paraId="4BB42BDB" w14:textId="77777777" w:rsidR="00000000" w:rsidRDefault="00000000">
      <w:pPr>
        <w:spacing w:before="50" w:after="50" w:line="360" w:lineRule="auto"/>
        <w:ind w:firstLineChars="200" w:firstLine="480"/>
        <w:rPr>
          <w:sz w:val="24"/>
        </w:rPr>
      </w:pPr>
      <w:r>
        <w:rPr>
          <w:rFonts w:hint="eastAsia"/>
          <w:sz w:val="24"/>
        </w:rPr>
        <w:t>1</w:t>
      </w:r>
      <w:r>
        <w:rPr>
          <w:rFonts w:hint="eastAsia"/>
          <w:sz w:val="24"/>
        </w:rPr>
        <w:t>、根据法律、法规和规范性文件的规定、市场情况及股东大会决议，制定、调整、修改、完善、实施本次交易的具体方案，包括但不限于根据具体情况确定或调整相关标的资产范围、交易对方范围、标的资产价格、支付方式、发行数量、发行起止日期、发行价格及与本次交易方案有关的其他事项；</w:t>
      </w:r>
    </w:p>
    <w:p w14:paraId="5A034095" w14:textId="77777777" w:rsidR="00000000" w:rsidRDefault="00000000">
      <w:pPr>
        <w:spacing w:before="50" w:after="50" w:line="360" w:lineRule="auto"/>
        <w:ind w:firstLineChars="200" w:firstLine="480"/>
        <w:rPr>
          <w:sz w:val="24"/>
        </w:rPr>
      </w:pPr>
      <w:r>
        <w:rPr>
          <w:rFonts w:hint="eastAsia"/>
          <w:sz w:val="24"/>
        </w:rPr>
        <w:t>2</w:t>
      </w:r>
      <w:r>
        <w:rPr>
          <w:rFonts w:hint="eastAsia"/>
          <w:sz w:val="24"/>
        </w:rPr>
        <w:t>、</w:t>
      </w:r>
      <w:r>
        <w:rPr>
          <w:sz w:val="24"/>
        </w:rPr>
        <w:t>在法律</w:t>
      </w:r>
      <w:r>
        <w:rPr>
          <w:rFonts w:hint="eastAsia"/>
          <w:sz w:val="24"/>
        </w:rPr>
        <w:t>、</w:t>
      </w:r>
      <w:r>
        <w:rPr>
          <w:sz w:val="24"/>
        </w:rPr>
        <w:t>法规和规范性文件以及</w:t>
      </w:r>
      <w:r>
        <w:rPr>
          <w:rFonts w:hint="eastAsia"/>
          <w:sz w:val="24"/>
        </w:rPr>
        <w:t>《</w:t>
      </w:r>
      <w:r>
        <w:rPr>
          <w:sz w:val="24"/>
        </w:rPr>
        <w:t>公司章程</w:t>
      </w:r>
      <w:r>
        <w:rPr>
          <w:rFonts w:hint="eastAsia"/>
          <w:sz w:val="24"/>
        </w:rPr>
        <w:t>》</w:t>
      </w:r>
      <w:r>
        <w:rPr>
          <w:sz w:val="24"/>
        </w:rPr>
        <w:t>允许的范围内</w:t>
      </w:r>
      <w:r>
        <w:rPr>
          <w:rFonts w:hint="eastAsia"/>
          <w:sz w:val="24"/>
        </w:rPr>
        <w:t>，</w:t>
      </w:r>
      <w:r>
        <w:rPr>
          <w:sz w:val="24"/>
        </w:rPr>
        <w:t>修改</w:t>
      </w:r>
      <w:r>
        <w:rPr>
          <w:rFonts w:hint="eastAsia"/>
          <w:sz w:val="24"/>
        </w:rPr>
        <w:t>、</w:t>
      </w:r>
      <w:r>
        <w:rPr>
          <w:sz w:val="24"/>
        </w:rPr>
        <w:t>补充</w:t>
      </w:r>
      <w:r>
        <w:rPr>
          <w:rFonts w:hint="eastAsia"/>
          <w:sz w:val="24"/>
        </w:rPr>
        <w:t>、</w:t>
      </w:r>
      <w:r>
        <w:rPr>
          <w:sz w:val="24"/>
        </w:rPr>
        <w:t>签署</w:t>
      </w:r>
      <w:r>
        <w:rPr>
          <w:rFonts w:hint="eastAsia"/>
          <w:sz w:val="24"/>
        </w:rPr>
        <w:t>、</w:t>
      </w:r>
      <w:r>
        <w:rPr>
          <w:sz w:val="24"/>
        </w:rPr>
        <w:t>递交</w:t>
      </w:r>
      <w:r>
        <w:rPr>
          <w:rFonts w:hint="eastAsia"/>
          <w:sz w:val="24"/>
        </w:rPr>
        <w:t>、</w:t>
      </w:r>
      <w:r>
        <w:rPr>
          <w:sz w:val="24"/>
        </w:rPr>
        <w:t>呈报</w:t>
      </w:r>
      <w:r>
        <w:rPr>
          <w:rFonts w:hint="eastAsia"/>
          <w:sz w:val="24"/>
        </w:rPr>
        <w:t>、</w:t>
      </w:r>
      <w:r>
        <w:rPr>
          <w:sz w:val="24"/>
        </w:rPr>
        <w:t>执行与本次发行股份</w:t>
      </w:r>
      <w:r>
        <w:rPr>
          <w:rFonts w:hint="eastAsia"/>
          <w:sz w:val="24"/>
        </w:rPr>
        <w:t>及支付现金</w:t>
      </w:r>
      <w:r>
        <w:rPr>
          <w:sz w:val="24"/>
        </w:rPr>
        <w:t>购买资产</w:t>
      </w:r>
      <w:r>
        <w:rPr>
          <w:rFonts w:hint="eastAsia"/>
          <w:sz w:val="24"/>
        </w:rPr>
        <w:t>并募集配套资金</w:t>
      </w:r>
      <w:r>
        <w:rPr>
          <w:sz w:val="24"/>
        </w:rPr>
        <w:t>有关的一切协议和文件</w:t>
      </w:r>
      <w:r>
        <w:rPr>
          <w:rFonts w:hint="eastAsia"/>
          <w:sz w:val="24"/>
        </w:rPr>
        <w:t>；</w:t>
      </w:r>
    </w:p>
    <w:p w14:paraId="49D16DAB" w14:textId="77777777" w:rsidR="00000000" w:rsidRDefault="00000000">
      <w:pPr>
        <w:spacing w:before="50" w:after="50" w:line="360" w:lineRule="auto"/>
        <w:ind w:firstLineChars="200" w:firstLine="480"/>
        <w:rPr>
          <w:sz w:val="24"/>
        </w:rPr>
      </w:pPr>
      <w:r>
        <w:rPr>
          <w:rFonts w:hint="eastAsia"/>
          <w:sz w:val="24"/>
        </w:rPr>
        <w:t>3</w:t>
      </w:r>
      <w:r>
        <w:rPr>
          <w:rFonts w:hint="eastAsia"/>
          <w:sz w:val="24"/>
        </w:rPr>
        <w:t>、</w:t>
      </w:r>
      <w:r>
        <w:rPr>
          <w:sz w:val="24"/>
        </w:rPr>
        <w:t>应审批部门</w:t>
      </w:r>
      <w:r>
        <w:rPr>
          <w:rFonts w:hint="eastAsia"/>
          <w:sz w:val="24"/>
        </w:rPr>
        <w:t>、</w:t>
      </w:r>
      <w:r>
        <w:rPr>
          <w:sz w:val="24"/>
        </w:rPr>
        <w:t>证券监管部门</w:t>
      </w:r>
      <w:r>
        <w:rPr>
          <w:rFonts w:hint="eastAsia"/>
          <w:sz w:val="24"/>
        </w:rPr>
        <w:t>、</w:t>
      </w:r>
      <w:r>
        <w:rPr>
          <w:sz w:val="24"/>
        </w:rPr>
        <w:t>证券交易所的要求或根据监管部门出台的新的相关法律</w:t>
      </w:r>
      <w:r>
        <w:rPr>
          <w:rFonts w:hint="eastAsia"/>
          <w:sz w:val="24"/>
        </w:rPr>
        <w:t>、</w:t>
      </w:r>
      <w:r>
        <w:rPr>
          <w:sz w:val="24"/>
        </w:rPr>
        <w:t>法规和规范性文件对本次交易方案进行相应调整</w:t>
      </w:r>
      <w:r>
        <w:rPr>
          <w:rFonts w:hint="eastAsia"/>
          <w:sz w:val="24"/>
        </w:rPr>
        <w:t>、</w:t>
      </w:r>
      <w:r>
        <w:rPr>
          <w:sz w:val="24"/>
        </w:rPr>
        <w:t>修改</w:t>
      </w:r>
      <w:r>
        <w:rPr>
          <w:rFonts w:hint="eastAsia"/>
          <w:sz w:val="24"/>
        </w:rPr>
        <w:t>、</w:t>
      </w:r>
      <w:r>
        <w:rPr>
          <w:sz w:val="24"/>
        </w:rPr>
        <w:t>批准</w:t>
      </w:r>
      <w:r>
        <w:rPr>
          <w:rFonts w:hint="eastAsia"/>
          <w:sz w:val="24"/>
        </w:rPr>
        <w:t>、</w:t>
      </w:r>
      <w:r>
        <w:rPr>
          <w:sz w:val="24"/>
        </w:rPr>
        <w:t>签署有关发行股份</w:t>
      </w:r>
      <w:r>
        <w:rPr>
          <w:rFonts w:hint="eastAsia"/>
          <w:sz w:val="24"/>
        </w:rPr>
        <w:t>及支付现金</w:t>
      </w:r>
      <w:r>
        <w:rPr>
          <w:sz w:val="24"/>
        </w:rPr>
        <w:t>购买资</w:t>
      </w:r>
      <w:r>
        <w:rPr>
          <w:rFonts w:hint="eastAsia"/>
          <w:sz w:val="24"/>
        </w:rPr>
        <w:t>产并募集配套资金</w:t>
      </w:r>
      <w:r>
        <w:rPr>
          <w:sz w:val="24"/>
        </w:rPr>
        <w:t>暨关联交易报告书</w:t>
      </w:r>
      <w:r>
        <w:rPr>
          <w:rFonts w:hint="eastAsia"/>
          <w:sz w:val="24"/>
        </w:rPr>
        <w:t>、</w:t>
      </w:r>
      <w:r>
        <w:rPr>
          <w:sz w:val="24"/>
        </w:rPr>
        <w:t>财务报告</w:t>
      </w:r>
      <w:r>
        <w:rPr>
          <w:rFonts w:hint="eastAsia"/>
          <w:sz w:val="24"/>
        </w:rPr>
        <w:t>、</w:t>
      </w:r>
      <w:r>
        <w:rPr>
          <w:sz w:val="24"/>
        </w:rPr>
        <w:t>审计报告</w:t>
      </w:r>
      <w:r>
        <w:rPr>
          <w:rFonts w:hint="eastAsia"/>
          <w:sz w:val="24"/>
        </w:rPr>
        <w:t>、</w:t>
      </w:r>
      <w:r>
        <w:rPr>
          <w:sz w:val="24"/>
        </w:rPr>
        <w:t>资产评估报告</w:t>
      </w:r>
      <w:r>
        <w:rPr>
          <w:rFonts w:hint="eastAsia"/>
          <w:sz w:val="24"/>
        </w:rPr>
        <w:t>、发行股份及支付现金购买资产协议等一切与本次交易有关的文件和协议（包括其修订稿、补充稿及摘要），并相应履行所需的信息披露程序；</w:t>
      </w:r>
    </w:p>
    <w:p w14:paraId="02691549" w14:textId="77777777" w:rsidR="00000000" w:rsidRDefault="00000000">
      <w:pPr>
        <w:spacing w:before="50" w:after="50" w:line="360" w:lineRule="auto"/>
        <w:ind w:firstLineChars="200" w:firstLine="480"/>
        <w:rPr>
          <w:sz w:val="24"/>
        </w:rPr>
      </w:pPr>
      <w:r>
        <w:rPr>
          <w:rFonts w:hint="eastAsia"/>
          <w:sz w:val="24"/>
        </w:rPr>
        <w:t>4</w:t>
      </w:r>
      <w:r>
        <w:rPr>
          <w:rFonts w:hint="eastAsia"/>
          <w:sz w:val="24"/>
        </w:rPr>
        <w:t>、</w:t>
      </w:r>
      <w:r>
        <w:rPr>
          <w:sz w:val="24"/>
        </w:rPr>
        <w:t>在股东大会决议有</w:t>
      </w:r>
      <w:r>
        <w:rPr>
          <w:rFonts w:hint="eastAsia"/>
          <w:sz w:val="24"/>
        </w:rPr>
        <w:t>效</w:t>
      </w:r>
      <w:r>
        <w:rPr>
          <w:sz w:val="24"/>
        </w:rPr>
        <w:t>期内</w:t>
      </w:r>
      <w:r>
        <w:rPr>
          <w:rFonts w:hint="eastAsia"/>
          <w:sz w:val="24"/>
        </w:rPr>
        <w:t>，</w:t>
      </w:r>
      <w:r>
        <w:rPr>
          <w:sz w:val="24"/>
        </w:rPr>
        <w:t>若监管部门政策要求或市场调节发生变化</w:t>
      </w:r>
      <w:r>
        <w:rPr>
          <w:rFonts w:hint="eastAsia"/>
          <w:sz w:val="24"/>
        </w:rPr>
        <w:t>，</w:t>
      </w:r>
      <w:r>
        <w:rPr>
          <w:sz w:val="24"/>
        </w:rPr>
        <w:t>授权董事会根据证券监管部门新的政策规定和证券市场的实际情况</w:t>
      </w:r>
      <w:r>
        <w:rPr>
          <w:rFonts w:hint="eastAsia"/>
          <w:sz w:val="24"/>
        </w:rPr>
        <w:t>，</w:t>
      </w:r>
      <w:r>
        <w:rPr>
          <w:sz w:val="24"/>
        </w:rPr>
        <w:t>在股东大会决议范围内对本次交易的具体方案作出相应调整</w:t>
      </w:r>
      <w:r>
        <w:rPr>
          <w:rFonts w:hint="eastAsia"/>
          <w:sz w:val="24"/>
        </w:rPr>
        <w:t>；</w:t>
      </w:r>
    </w:p>
    <w:p w14:paraId="14625508" w14:textId="77777777" w:rsidR="00000000" w:rsidRDefault="00000000">
      <w:pPr>
        <w:spacing w:before="50" w:after="50" w:line="360" w:lineRule="auto"/>
        <w:ind w:firstLineChars="200" w:firstLine="480"/>
        <w:rPr>
          <w:sz w:val="24"/>
        </w:rPr>
      </w:pPr>
      <w:r>
        <w:rPr>
          <w:rFonts w:hint="eastAsia"/>
          <w:sz w:val="24"/>
        </w:rPr>
        <w:t>5</w:t>
      </w:r>
      <w:r>
        <w:rPr>
          <w:rFonts w:hint="eastAsia"/>
          <w:sz w:val="24"/>
        </w:rPr>
        <w:t>、</w:t>
      </w:r>
      <w:r>
        <w:rPr>
          <w:sz w:val="24"/>
        </w:rPr>
        <w:t>办理本次交易申报事项</w:t>
      </w:r>
      <w:r>
        <w:rPr>
          <w:rFonts w:hint="eastAsia"/>
          <w:sz w:val="24"/>
        </w:rPr>
        <w:t>，</w:t>
      </w:r>
      <w:r>
        <w:rPr>
          <w:sz w:val="24"/>
        </w:rPr>
        <w:t>根据审批部门</w:t>
      </w:r>
      <w:r>
        <w:rPr>
          <w:rFonts w:hint="eastAsia"/>
          <w:sz w:val="24"/>
        </w:rPr>
        <w:t>、</w:t>
      </w:r>
      <w:r>
        <w:rPr>
          <w:sz w:val="24"/>
        </w:rPr>
        <w:t>证券监管部门</w:t>
      </w:r>
      <w:r>
        <w:rPr>
          <w:rFonts w:hint="eastAsia"/>
          <w:sz w:val="24"/>
        </w:rPr>
        <w:t>、</w:t>
      </w:r>
      <w:r>
        <w:rPr>
          <w:sz w:val="24"/>
        </w:rPr>
        <w:t>证券交易所的要求制作</w:t>
      </w:r>
      <w:r>
        <w:rPr>
          <w:rFonts w:hint="eastAsia"/>
          <w:sz w:val="24"/>
        </w:rPr>
        <w:t>、</w:t>
      </w:r>
      <w:r>
        <w:rPr>
          <w:sz w:val="24"/>
        </w:rPr>
        <w:t>修改</w:t>
      </w:r>
      <w:r>
        <w:rPr>
          <w:rFonts w:hint="eastAsia"/>
          <w:sz w:val="24"/>
        </w:rPr>
        <w:t>、</w:t>
      </w:r>
      <w:r>
        <w:rPr>
          <w:sz w:val="24"/>
        </w:rPr>
        <w:t>报送本次交易的申报材料</w:t>
      </w:r>
      <w:r>
        <w:rPr>
          <w:rFonts w:hint="eastAsia"/>
          <w:sz w:val="24"/>
        </w:rPr>
        <w:t>；</w:t>
      </w:r>
      <w:r>
        <w:rPr>
          <w:sz w:val="24"/>
        </w:rPr>
        <w:t>全权回复中国</w:t>
      </w:r>
      <w:r>
        <w:rPr>
          <w:rFonts w:hint="eastAsia"/>
          <w:sz w:val="24"/>
        </w:rPr>
        <w:t>证监会及</w:t>
      </w:r>
      <w:r>
        <w:rPr>
          <w:rFonts w:hint="eastAsia"/>
          <w:sz w:val="24"/>
        </w:rPr>
        <w:t>/</w:t>
      </w:r>
      <w:r>
        <w:rPr>
          <w:rFonts w:hint="eastAsia"/>
          <w:sz w:val="24"/>
        </w:rPr>
        <w:t>或证券交易所</w:t>
      </w:r>
      <w:r>
        <w:rPr>
          <w:sz w:val="24"/>
        </w:rPr>
        <w:t>等相关政府部门的反馈</w:t>
      </w:r>
      <w:r>
        <w:rPr>
          <w:rFonts w:hint="eastAsia"/>
          <w:sz w:val="24"/>
        </w:rPr>
        <w:t>/</w:t>
      </w:r>
      <w:r>
        <w:rPr>
          <w:rFonts w:hint="eastAsia"/>
          <w:sz w:val="24"/>
        </w:rPr>
        <w:t>问询</w:t>
      </w:r>
      <w:r>
        <w:rPr>
          <w:sz w:val="24"/>
        </w:rPr>
        <w:t>意见</w:t>
      </w:r>
      <w:r>
        <w:rPr>
          <w:rFonts w:hint="eastAsia"/>
          <w:sz w:val="24"/>
        </w:rPr>
        <w:t>；</w:t>
      </w:r>
    </w:p>
    <w:p w14:paraId="1B64E0A3" w14:textId="77777777" w:rsidR="00000000" w:rsidRDefault="00000000">
      <w:pPr>
        <w:spacing w:before="50" w:after="50" w:line="360" w:lineRule="auto"/>
        <w:ind w:firstLineChars="200" w:firstLine="480"/>
        <w:rPr>
          <w:sz w:val="24"/>
        </w:rPr>
      </w:pPr>
      <w:r>
        <w:rPr>
          <w:rFonts w:hint="eastAsia"/>
          <w:sz w:val="24"/>
        </w:rPr>
        <w:t>6</w:t>
      </w:r>
      <w:r>
        <w:rPr>
          <w:rFonts w:hint="eastAsia"/>
          <w:sz w:val="24"/>
        </w:rPr>
        <w:t>、</w:t>
      </w:r>
      <w:r>
        <w:rPr>
          <w:sz w:val="24"/>
        </w:rPr>
        <w:t>授权董事会根据法律</w:t>
      </w:r>
      <w:r>
        <w:rPr>
          <w:rFonts w:hint="eastAsia"/>
          <w:sz w:val="24"/>
        </w:rPr>
        <w:t>、</w:t>
      </w:r>
      <w:r>
        <w:rPr>
          <w:sz w:val="24"/>
        </w:rPr>
        <w:t>法规规定和股东大会决议</w:t>
      </w:r>
      <w:r>
        <w:rPr>
          <w:rFonts w:hint="eastAsia"/>
          <w:sz w:val="24"/>
        </w:rPr>
        <w:t>，</w:t>
      </w:r>
      <w:r>
        <w:rPr>
          <w:sz w:val="24"/>
        </w:rPr>
        <w:t>负责本次交易方案的具体执行和实施</w:t>
      </w:r>
      <w:r>
        <w:rPr>
          <w:rFonts w:hint="eastAsia"/>
          <w:sz w:val="24"/>
        </w:rPr>
        <w:t>，</w:t>
      </w:r>
      <w:r>
        <w:rPr>
          <w:sz w:val="24"/>
        </w:rPr>
        <w:t>包括但不限于履行交易</w:t>
      </w:r>
      <w:r>
        <w:rPr>
          <w:rFonts w:hint="eastAsia"/>
          <w:sz w:val="24"/>
        </w:rPr>
        <w:t>协议规定的各项义务，办理本次交易所涉及的标的资产交割、移交变更、新增股份发行等登记手续，并签署相关法律文件；</w:t>
      </w:r>
    </w:p>
    <w:p w14:paraId="080A97B3" w14:textId="77777777" w:rsidR="00000000" w:rsidRDefault="00000000">
      <w:pPr>
        <w:spacing w:before="50" w:after="50" w:line="360" w:lineRule="auto"/>
        <w:ind w:firstLineChars="200" w:firstLine="480"/>
        <w:rPr>
          <w:sz w:val="24"/>
        </w:rPr>
      </w:pPr>
      <w:r>
        <w:rPr>
          <w:rFonts w:hint="eastAsia"/>
          <w:sz w:val="24"/>
        </w:rPr>
        <w:t>7</w:t>
      </w:r>
      <w:r>
        <w:rPr>
          <w:rFonts w:hint="eastAsia"/>
          <w:sz w:val="24"/>
        </w:rPr>
        <w:t>、</w:t>
      </w:r>
      <w:r>
        <w:rPr>
          <w:sz w:val="24"/>
        </w:rPr>
        <w:t>本次交易完成后</w:t>
      </w:r>
      <w:r>
        <w:rPr>
          <w:rFonts w:hint="eastAsia"/>
          <w:sz w:val="24"/>
        </w:rPr>
        <w:t>，</w:t>
      </w:r>
      <w:r>
        <w:rPr>
          <w:sz w:val="24"/>
        </w:rPr>
        <w:t>修改</w:t>
      </w:r>
      <w:r>
        <w:rPr>
          <w:rFonts w:hint="eastAsia"/>
          <w:sz w:val="24"/>
        </w:rPr>
        <w:t>《</w:t>
      </w:r>
      <w:r>
        <w:rPr>
          <w:sz w:val="24"/>
        </w:rPr>
        <w:t>公司章程</w:t>
      </w:r>
      <w:r>
        <w:rPr>
          <w:rFonts w:hint="eastAsia"/>
          <w:sz w:val="24"/>
        </w:rPr>
        <w:t>》</w:t>
      </w:r>
      <w:r>
        <w:rPr>
          <w:sz w:val="24"/>
        </w:rPr>
        <w:t>的相关条款</w:t>
      </w:r>
      <w:r>
        <w:rPr>
          <w:rFonts w:hint="eastAsia"/>
          <w:sz w:val="24"/>
        </w:rPr>
        <w:t>，</w:t>
      </w:r>
      <w:r>
        <w:rPr>
          <w:sz w:val="24"/>
        </w:rPr>
        <w:t>办理工商变更登记手续及有关的其他备案事宜等</w:t>
      </w:r>
      <w:r>
        <w:rPr>
          <w:rFonts w:hint="eastAsia"/>
          <w:sz w:val="24"/>
        </w:rPr>
        <w:t>；</w:t>
      </w:r>
    </w:p>
    <w:p w14:paraId="196A5046" w14:textId="77777777" w:rsidR="00000000" w:rsidRDefault="00000000">
      <w:pPr>
        <w:spacing w:before="50" w:after="50" w:line="360" w:lineRule="auto"/>
        <w:ind w:firstLineChars="200" w:firstLine="480"/>
        <w:rPr>
          <w:sz w:val="24"/>
        </w:rPr>
      </w:pPr>
      <w:r>
        <w:rPr>
          <w:rFonts w:hint="eastAsia"/>
          <w:sz w:val="24"/>
        </w:rPr>
        <w:t>8</w:t>
      </w:r>
      <w:r>
        <w:rPr>
          <w:rFonts w:hint="eastAsia"/>
          <w:sz w:val="24"/>
        </w:rPr>
        <w:t>、</w:t>
      </w:r>
      <w:r>
        <w:rPr>
          <w:sz w:val="24"/>
        </w:rPr>
        <w:t>本次交易完成后</w:t>
      </w:r>
      <w:r>
        <w:rPr>
          <w:rFonts w:hint="eastAsia"/>
          <w:sz w:val="24"/>
        </w:rPr>
        <w:t>，</w:t>
      </w:r>
      <w:r>
        <w:rPr>
          <w:sz w:val="24"/>
        </w:rPr>
        <w:t>办理本次交易所发行的股票在证券登记结算机构登记</w:t>
      </w:r>
      <w:r>
        <w:rPr>
          <w:sz w:val="24"/>
        </w:rPr>
        <w:lastRenderedPageBreak/>
        <w:t>和在深交所登记</w:t>
      </w:r>
      <w:r>
        <w:rPr>
          <w:rFonts w:hint="eastAsia"/>
          <w:sz w:val="24"/>
        </w:rPr>
        <w:t>、</w:t>
      </w:r>
      <w:r>
        <w:rPr>
          <w:sz w:val="24"/>
        </w:rPr>
        <w:t>锁定和上市等事宜</w:t>
      </w:r>
      <w:r>
        <w:rPr>
          <w:rFonts w:hint="eastAsia"/>
          <w:sz w:val="24"/>
        </w:rPr>
        <w:t>；</w:t>
      </w:r>
    </w:p>
    <w:p w14:paraId="1E964148" w14:textId="77777777" w:rsidR="00000000" w:rsidRDefault="00000000">
      <w:pPr>
        <w:spacing w:before="50" w:after="50" w:line="360" w:lineRule="auto"/>
        <w:ind w:firstLineChars="200" w:firstLine="480"/>
        <w:rPr>
          <w:sz w:val="24"/>
        </w:rPr>
      </w:pPr>
      <w:r>
        <w:rPr>
          <w:rFonts w:hint="eastAsia"/>
          <w:sz w:val="24"/>
        </w:rPr>
        <w:t>9</w:t>
      </w:r>
      <w:r>
        <w:rPr>
          <w:rFonts w:hint="eastAsia"/>
          <w:sz w:val="24"/>
        </w:rPr>
        <w:t>、</w:t>
      </w:r>
      <w:r>
        <w:rPr>
          <w:sz w:val="24"/>
        </w:rPr>
        <w:t>决定并聘请独立财务顾问</w:t>
      </w:r>
      <w:r>
        <w:rPr>
          <w:rFonts w:hint="eastAsia"/>
          <w:sz w:val="24"/>
        </w:rPr>
        <w:t>、</w:t>
      </w:r>
      <w:r>
        <w:rPr>
          <w:sz w:val="24"/>
        </w:rPr>
        <w:t>律师事务所</w:t>
      </w:r>
      <w:r>
        <w:rPr>
          <w:rFonts w:hint="eastAsia"/>
          <w:sz w:val="24"/>
        </w:rPr>
        <w:t>、资产</w:t>
      </w:r>
      <w:r>
        <w:rPr>
          <w:sz w:val="24"/>
        </w:rPr>
        <w:t>评估机构和会计师事务所等中介机构</w:t>
      </w:r>
      <w:r>
        <w:rPr>
          <w:rFonts w:hint="eastAsia"/>
          <w:sz w:val="24"/>
        </w:rPr>
        <w:t>，</w:t>
      </w:r>
      <w:r>
        <w:rPr>
          <w:sz w:val="24"/>
        </w:rPr>
        <w:t>决定相应的服务费用并签署相关服务协议</w:t>
      </w:r>
      <w:r>
        <w:rPr>
          <w:rFonts w:hint="eastAsia"/>
          <w:sz w:val="24"/>
        </w:rPr>
        <w:t>；</w:t>
      </w:r>
    </w:p>
    <w:p w14:paraId="0553354F" w14:textId="77777777" w:rsidR="00000000" w:rsidRDefault="00000000">
      <w:pPr>
        <w:spacing w:before="50" w:after="50" w:line="360" w:lineRule="auto"/>
        <w:ind w:firstLineChars="200" w:firstLine="480"/>
        <w:rPr>
          <w:sz w:val="24"/>
        </w:rPr>
      </w:pPr>
      <w:r>
        <w:rPr>
          <w:rFonts w:hint="eastAsia"/>
          <w:sz w:val="24"/>
        </w:rPr>
        <w:t>10</w:t>
      </w:r>
      <w:r>
        <w:rPr>
          <w:rFonts w:hint="eastAsia"/>
          <w:sz w:val="24"/>
        </w:rPr>
        <w:t>、</w:t>
      </w:r>
      <w:r>
        <w:rPr>
          <w:sz w:val="24"/>
        </w:rPr>
        <w:t>在法律</w:t>
      </w:r>
      <w:r>
        <w:rPr>
          <w:rFonts w:hint="eastAsia"/>
          <w:sz w:val="24"/>
        </w:rPr>
        <w:t>、</w:t>
      </w:r>
      <w:r>
        <w:rPr>
          <w:sz w:val="24"/>
        </w:rPr>
        <w:t>法规</w:t>
      </w:r>
      <w:r>
        <w:rPr>
          <w:rFonts w:hint="eastAsia"/>
          <w:sz w:val="24"/>
        </w:rPr>
        <w:t>、</w:t>
      </w:r>
      <w:r>
        <w:rPr>
          <w:sz w:val="24"/>
        </w:rPr>
        <w:t>有关规范性文件及</w:t>
      </w:r>
      <w:r>
        <w:rPr>
          <w:rFonts w:hint="eastAsia"/>
          <w:sz w:val="24"/>
        </w:rPr>
        <w:t>《</w:t>
      </w:r>
      <w:r>
        <w:rPr>
          <w:sz w:val="24"/>
        </w:rPr>
        <w:t>公司章程</w:t>
      </w:r>
      <w:r>
        <w:rPr>
          <w:rFonts w:hint="eastAsia"/>
          <w:sz w:val="24"/>
        </w:rPr>
        <w:t>》</w:t>
      </w:r>
      <w:r>
        <w:rPr>
          <w:sz w:val="24"/>
        </w:rPr>
        <w:t>允许范围内</w:t>
      </w:r>
      <w:r>
        <w:rPr>
          <w:rFonts w:hint="eastAsia"/>
          <w:sz w:val="24"/>
        </w:rPr>
        <w:t>，</w:t>
      </w:r>
      <w:r>
        <w:rPr>
          <w:sz w:val="24"/>
        </w:rPr>
        <w:t>办理与本次交易有关的其他事宜</w:t>
      </w:r>
      <w:r>
        <w:rPr>
          <w:rFonts w:hint="eastAsia"/>
          <w:sz w:val="24"/>
        </w:rPr>
        <w:t>；</w:t>
      </w:r>
    </w:p>
    <w:p w14:paraId="6430DC7B" w14:textId="77777777" w:rsidR="00000000" w:rsidRDefault="00000000">
      <w:pPr>
        <w:spacing w:before="50" w:after="50" w:line="360" w:lineRule="auto"/>
        <w:ind w:firstLineChars="200" w:firstLine="480"/>
        <w:rPr>
          <w:sz w:val="24"/>
        </w:rPr>
      </w:pPr>
      <w:r>
        <w:rPr>
          <w:rFonts w:hint="eastAsia"/>
          <w:sz w:val="24"/>
        </w:rPr>
        <w:t>11</w:t>
      </w:r>
      <w:r>
        <w:rPr>
          <w:rFonts w:hint="eastAsia"/>
          <w:sz w:val="24"/>
        </w:rPr>
        <w:t>、</w:t>
      </w:r>
      <w:r>
        <w:rPr>
          <w:sz w:val="24"/>
        </w:rPr>
        <w:t>董事会可根据本次交易的进度和实际需要</w:t>
      </w:r>
      <w:r>
        <w:rPr>
          <w:rFonts w:hint="eastAsia"/>
          <w:sz w:val="24"/>
        </w:rPr>
        <w:t>，</w:t>
      </w:r>
      <w:r>
        <w:rPr>
          <w:sz w:val="24"/>
        </w:rPr>
        <w:t>将上述授权涉及的程序性事项转授权公司董事长及董事长书面授权之人士</w:t>
      </w:r>
      <w:r>
        <w:rPr>
          <w:rFonts w:hint="eastAsia"/>
          <w:sz w:val="24"/>
        </w:rPr>
        <w:t>；</w:t>
      </w:r>
    </w:p>
    <w:p w14:paraId="41875125" w14:textId="77777777" w:rsidR="00000000" w:rsidRDefault="00000000">
      <w:pPr>
        <w:spacing w:before="50" w:after="50" w:line="360" w:lineRule="auto"/>
        <w:ind w:firstLineChars="200" w:firstLine="480"/>
        <w:rPr>
          <w:sz w:val="24"/>
        </w:rPr>
      </w:pPr>
      <w:r>
        <w:rPr>
          <w:sz w:val="24"/>
        </w:rPr>
        <w:t>上述授权自股东大会审议通过之日起</w:t>
      </w:r>
      <w:r>
        <w:rPr>
          <w:rFonts w:hint="eastAsia"/>
          <w:sz w:val="24"/>
        </w:rPr>
        <w:t>1</w:t>
      </w:r>
      <w:r>
        <w:rPr>
          <w:sz w:val="24"/>
        </w:rPr>
        <w:t>2</w:t>
      </w:r>
      <w:r>
        <w:rPr>
          <w:sz w:val="24"/>
        </w:rPr>
        <w:t>个月内有效</w:t>
      </w:r>
      <w:r>
        <w:rPr>
          <w:rFonts w:hint="eastAsia"/>
          <w:sz w:val="24"/>
        </w:rPr>
        <w:t>。</w:t>
      </w:r>
      <w:r>
        <w:rPr>
          <w:sz w:val="24"/>
        </w:rPr>
        <w:t>若</w:t>
      </w:r>
      <w:r>
        <w:rPr>
          <w:rFonts w:hint="eastAsia"/>
          <w:sz w:val="24"/>
        </w:rPr>
        <w:t>在前述授权期限内</w:t>
      </w:r>
      <w:r>
        <w:rPr>
          <w:sz w:val="24"/>
        </w:rPr>
        <w:t>本次交易获得中国证监会</w:t>
      </w:r>
      <w:r>
        <w:rPr>
          <w:rFonts w:hint="eastAsia"/>
          <w:sz w:val="24"/>
        </w:rPr>
        <w:t>同意注册，</w:t>
      </w:r>
      <w:r>
        <w:rPr>
          <w:sz w:val="24"/>
        </w:rPr>
        <w:t>则有效期延长至本次交易完成日</w:t>
      </w:r>
      <w:r>
        <w:rPr>
          <w:rFonts w:hint="eastAsia"/>
          <w:sz w:val="24"/>
        </w:rPr>
        <w:t>。</w:t>
      </w:r>
    </w:p>
    <w:p w14:paraId="7F40D8F2" w14:textId="77777777" w:rsidR="00000000" w:rsidRDefault="00000000">
      <w:pPr>
        <w:spacing w:before="50" w:after="50" w:line="360" w:lineRule="auto"/>
        <w:ind w:firstLineChars="200" w:firstLine="480"/>
        <w:rPr>
          <w:bCs/>
          <w:sz w:val="24"/>
          <w:szCs w:val="24"/>
        </w:rPr>
      </w:pPr>
      <w:r>
        <w:rPr>
          <w:bCs/>
          <w:sz w:val="24"/>
          <w:szCs w:val="24"/>
        </w:rPr>
        <w:t>本议案涉及关联交易。关联董事李勇、盛国福、陈新国、文志涛已回避表决，其他非关联董事同意本议案。</w:t>
      </w:r>
    </w:p>
    <w:p w14:paraId="75CFBA51" w14:textId="77777777" w:rsidR="00000000" w:rsidRDefault="00000000">
      <w:pPr>
        <w:spacing w:before="50" w:after="50" w:line="360" w:lineRule="auto"/>
        <w:ind w:firstLineChars="200" w:firstLine="480"/>
        <w:rPr>
          <w:bCs/>
          <w:sz w:val="24"/>
          <w:szCs w:val="24"/>
        </w:rPr>
      </w:pPr>
      <w:r>
        <w:rPr>
          <w:bCs/>
          <w:sz w:val="24"/>
          <w:szCs w:val="24"/>
        </w:rPr>
        <w:t>表决情况：</w:t>
      </w:r>
      <w:r>
        <w:rPr>
          <w:bCs/>
          <w:sz w:val="24"/>
          <w:szCs w:val="24"/>
        </w:rPr>
        <w:t>5</w:t>
      </w:r>
      <w:r>
        <w:rPr>
          <w:bCs/>
          <w:sz w:val="24"/>
          <w:szCs w:val="24"/>
        </w:rPr>
        <w:t>票同意、</w:t>
      </w:r>
      <w:r>
        <w:rPr>
          <w:bCs/>
          <w:sz w:val="24"/>
          <w:szCs w:val="24"/>
        </w:rPr>
        <w:t>0</w:t>
      </w:r>
      <w:r>
        <w:rPr>
          <w:bCs/>
          <w:sz w:val="24"/>
          <w:szCs w:val="24"/>
        </w:rPr>
        <w:t>票反对、</w:t>
      </w:r>
      <w:r>
        <w:rPr>
          <w:bCs/>
          <w:sz w:val="24"/>
          <w:szCs w:val="24"/>
        </w:rPr>
        <w:t>0</w:t>
      </w:r>
      <w:r>
        <w:rPr>
          <w:bCs/>
          <w:sz w:val="24"/>
          <w:szCs w:val="24"/>
        </w:rPr>
        <w:t>票弃权、</w:t>
      </w:r>
      <w:r>
        <w:rPr>
          <w:bCs/>
          <w:sz w:val="24"/>
          <w:szCs w:val="24"/>
        </w:rPr>
        <w:t>4</w:t>
      </w:r>
      <w:r>
        <w:rPr>
          <w:bCs/>
          <w:sz w:val="24"/>
          <w:szCs w:val="24"/>
        </w:rPr>
        <w:t>票回避。</w:t>
      </w:r>
    </w:p>
    <w:p w14:paraId="3D2B9FC0" w14:textId="77777777" w:rsidR="00000000" w:rsidRDefault="00000000">
      <w:pPr>
        <w:spacing w:before="50" w:after="50" w:line="360" w:lineRule="auto"/>
        <w:ind w:firstLineChars="200" w:firstLine="480"/>
        <w:rPr>
          <w:bCs/>
          <w:sz w:val="24"/>
          <w:szCs w:val="24"/>
        </w:rPr>
      </w:pPr>
      <w:r>
        <w:rPr>
          <w:bCs/>
          <w:sz w:val="24"/>
          <w:szCs w:val="24"/>
        </w:rPr>
        <w:t>表决结果：通过。</w:t>
      </w:r>
    </w:p>
    <w:p w14:paraId="4D9C58FF" w14:textId="77777777" w:rsidR="00000000" w:rsidRDefault="00000000">
      <w:pPr>
        <w:spacing w:before="50" w:after="50" w:line="360" w:lineRule="auto"/>
        <w:ind w:firstLineChars="200" w:firstLine="480"/>
        <w:rPr>
          <w:rFonts w:hint="eastAsia"/>
          <w:sz w:val="24"/>
          <w:szCs w:val="24"/>
        </w:rPr>
      </w:pPr>
      <w:r>
        <w:rPr>
          <w:sz w:val="24"/>
          <w:szCs w:val="24"/>
        </w:rPr>
        <w:t>本议案需提交公司股东大会审议。</w:t>
      </w:r>
    </w:p>
    <w:p w14:paraId="020F1D16" w14:textId="77777777" w:rsidR="00000000" w:rsidRDefault="00000000">
      <w:pPr>
        <w:spacing w:before="50" w:after="50" w:line="360" w:lineRule="auto"/>
        <w:ind w:firstLineChars="200" w:firstLine="482"/>
        <w:rPr>
          <w:b/>
          <w:sz w:val="24"/>
          <w:szCs w:val="24"/>
        </w:rPr>
      </w:pPr>
      <w:r>
        <w:rPr>
          <w:b/>
          <w:sz w:val="24"/>
          <w:szCs w:val="24"/>
        </w:rPr>
        <w:t>（</w:t>
      </w:r>
      <w:r>
        <w:rPr>
          <w:rFonts w:hint="eastAsia"/>
          <w:b/>
          <w:sz w:val="24"/>
          <w:szCs w:val="24"/>
        </w:rPr>
        <w:t>二十五</w:t>
      </w:r>
      <w:r>
        <w:rPr>
          <w:b/>
          <w:sz w:val="24"/>
          <w:szCs w:val="24"/>
        </w:rPr>
        <w:t>）审议通过</w:t>
      </w:r>
      <w:bookmarkStart w:id="10" w:name="OLE_LINK2"/>
      <w:bookmarkStart w:id="11" w:name="OLE_LINK1"/>
      <w:r>
        <w:rPr>
          <w:b/>
          <w:sz w:val="24"/>
          <w:szCs w:val="24"/>
        </w:rPr>
        <w:t>《关于暂不召开股东大会审议本次交易相关事项的议案》</w:t>
      </w:r>
    </w:p>
    <w:bookmarkEnd w:id="10"/>
    <w:bookmarkEnd w:id="11"/>
    <w:p w14:paraId="18DB7E6E" w14:textId="77777777" w:rsidR="00000000" w:rsidRDefault="00000000">
      <w:pPr>
        <w:spacing w:before="50" w:after="50" w:line="360" w:lineRule="auto"/>
        <w:ind w:firstLineChars="200" w:firstLine="480"/>
        <w:rPr>
          <w:sz w:val="24"/>
        </w:rPr>
      </w:pPr>
      <w:r>
        <w:rPr>
          <w:sz w:val="24"/>
        </w:rPr>
        <w:t>根据中国证监会《上市公司重大资产重组管理办法》《关于</w:t>
      </w:r>
      <w:r>
        <w:rPr>
          <w:sz w:val="24"/>
        </w:rPr>
        <w:t>&lt;</w:t>
      </w:r>
      <w:r>
        <w:rPr>
          <w:sz w:val="24"/>
        </w:rPr>
        <w:t>上市公司重大资产重组管理办法</w:t>
      </w:r>
      <w:r>
        <w:rPr>
          <w:sz w:val="24"/>
        </w:rPr>
        <w:t>&gt;</w:t>
      </w:r>
      <w:r>
        <w:rPr>
          <w:sz w:val="24"/>
        </w:rPr>
        <w:t>实施后有关监管事项的通知》及《深圳证券交易所上市公司自律监管指引第</w:t>
      </w:r>
      <w:r>
        <w:rPr>
          <w:sz w:val="24"/>
        </w:rPr>
        <w:t>8</w:t>
      </w:r>
      <w:r>
        <w:rPr>
          <w:sz w:val="24"/>
        </w:rPr>
        <w:t>号</w:t>
      </w:r>
      <w:r>
        <w:rPr>
          <w:sz w:val="24"/>
        </w:rPr>
        <w:t>——</w:t>
      </w:r>
      <w:r>
        <w:rPr>
          <w:sz w:val="24"/>
        </w:rPr>
        <w:t>重大资产重组》等相关规范性文件的要求，深交所需对本次交易相关文件进行审核，并有可能进一步问询。基于本次交易的总体工作安排，公司董事会决定暂不召开股东大会，将根据相关工作进度另行发布召开股东大会的通知，提请股东大会审议本次交易相关的事项。</w:t>
      </w:r>
    </w:p>
    <w:p w14:paraId="378E0699" w14:textId="77777777" w:rsidR="00000000" w:rsidRDefault="00000000">
      <w:pPr>
        <w:spacing w:before="50" w:after="50" w:line="360" w:lineRule="auto"/>
        <w:ind w:firstLineChars="200" w:firstLine="480"/>
        <w:rPr>
          <w:sz w:val="24"/>
        </w:rPr>
      </w:pPr>
      <w:r>
        <w:rPr>
          <w:sz w:val="24"/>
        </w:rPr>
        <w:t>表决情况：</w:t>
      </w:r>
      <w:r>
        <w:rPr>
          <w:sz w:val="24"/>
        </w:rPr>
        <w:t>9</w:t>
      </w:r>
      <w:r>
        <w:rPr>
          <w:sz w:val="24"/>
        </w:rPr>
        <w:t>票同意、</w:t>
      </w:r>
      <w:r>
        <w:rPr>
          <w:sz w:val="24"/>
        </w:rPr>
        <w:t>0</w:t>
      </w:r>
      <w:r>
        <w:rPr>
          <w:sz w:val="24"/>
        </w:rPr>
        <w:t>票反对、</w:t>
      </w:r>
      <w:r>
        <w:rPr>
          <w:sz w:val="24"/>
        </w:rPr>
        <w:t>0</w:t>
      </w:r>
      <w:r>
        <w:rPr>
          <w:sz w:val="24"/>
        </w:rPr>
        <w:t>票弃权、</w:t>
      </w:r>
      <w:r>
        <w:rPr>
          <w:sz w:val="24"/>
        </w:rPr>
        <w:t>0</w:t>
      </w:r>
      <w:r>
        <w:rPr>
          <w:sz w:val="24"/>
        </w:rPr>
        <w:t>票回避。</w:t>
      </w:r>
    </w:p>
    <w:p w14:paraId="5E9FF4BF" w14:textId="77777777" w:rsidR="00000000" w:rsidRDefault="00000000">
      <w:pPr>
        <w:spacing w:before="50" w:after="50" w:line="360" w:lineRule="auto"/>
        <w:ind w:firstLineChars="200" w:firstLine="480"/>
        <w:rPr>
          <w:sz w:val="24"/>
        </w:rPr>
      </w:pPr>
      <w:r>
        <w:rPr>
          <w:sz w:val="24"/>
        </w:rPr>
        <w:t>表决结果：通过。</w:t>
      </w:r>
    </w:p>
    <w:p w14:paraId="397D2312" w14:textId="77777777" w:rsidR="00000000" w:rsidRDefault="00000000">
      <w:pPr>
        <w:adjustRightInd w:val="0"/>
        <w:snapToGrid w:val="0"/>
        <w:spacing w:beforeLines="30" w:before="93" w:afterLines="30" w:after="93" w:line="360" w:lineRule="auto"/>
        <w:ind w:firstLineChars="200" w:firstLine="482"/>
        <w:outlineLvl w:val="1"/>
        <w:rPr>
          <w:rFonts w:ascii="Calibri" w:hAnsi="Calibri"/>
          <w:b/>
          <w:sz w:val="24"/>
          <w:szCs w:val="24"/>
        </w:rPr>
      </w:pPr>
      <w:r>
        <w:rPr>
          <w:rFonts w:ascii="Calibri" w:hAnsi="Calibri" w:hint="eastAsia"/>
          <w:b/>
          <w:sz w:val="24"/>
          <w:szCs w:val="24"/>
        </w:rPr>
        <w:t>（二十六）</w:t>
      </w:r>
      <w:r>
        <w:rPr>
          <w:rFonts w:ascii="Calibri" w:hAnsi="Calibri"/>
          <w:b/>
          <w:sz w:val="24"/>
          <w:szCs w:val="24"/>
        </w:rPr>
        <w:t>审议通过《</w:t>
      </w:r>
      <w:r>
        <w:rPr>
          <w:rFonts w:ascii="Calibri" w:hAnsi="Calibri" w:hint="eastAsia"/>
          <w:b/>
          <w:sz w:val="24"/>
          <w:szCs w:val="24"/>
        </w:rPr>
        <w:t>关于</w:t>
      </w:r>
      <w:r>
        <w:rPr>
          <w:b/>
          <w:sz w:val="24"/>
          <w:szCs w:val="24"/>
        </w:rPr>
        <w:t>2023</w:t>
      </w:r>
      <w:r>
        <w:rPr>
          <w:b/>
          <w:sz w:val="24"/>
          <w:szCs w:val="24"/>
        </w:rPr>
        <w:t>年</w:t>
      </w:r>
      <w:r>
        <w:rPr>
          <w:rFonts w:ascii="Calibri" w:hAnsi="Calibri" w:hint="eastAsia"/>
          <w:b/>
          <w:sz w:val="24"/>
          <w:szCs w:val="24"/>
        </w:rPr>
        <w:t>半年度报告及摘要的议案</w:t>
      </w:r>
      <w:r>
        <w:rPr>
          <w:rFonts w:ascii="Calibri" w:hAnsi="Calibri"/>
          <w:b/>
          <w:sz w:val="24"/>
          <w:szCs w:val="24"/>
        </w:rPr>
        <w:t>》</w:t>
      </w:r>
    </w:p>
    <w:p w14:paraId="10B741A8" w14:textId="77777777" w:rsidR="00000000" w:rsidRDefault="00000000">
      <w:pPr>
        <w:spacing w:line="360" w:lineRule="auto"/>
        <w:ind w:firstLineChars="200" w:firstLine="480"/>
        <w:rPr>
          <w:sz w:val="24"/>
          <w:szCs w:val="24"/>
        </w:rPr>
      </w:pPr>
      <w:r>
        <w:rPr>
          <w:sz w:val="24"/>
          <w:szCs w:val="24"/>
        </w:rPr>
        <w:t>经审议，董事会同意</w:t>
      </w:r>
      <w:r>
        <w:rPr>
          <w:sz w:val="24"/>
          <w:szCs w:val="24"/>
        </w:rPr>
        <w:t>2023</w:t>
      </w:r>
      <w:r>
        <w:rPr>
          <w:sz w:val="24"/>
          <w:szCs w:val="24"/>
        </w:rPr>
        <w:t>年半年度报告及摘要。议案的具体内容详见公司于</w:t>
      </w:r>
      <w:r>
        <w:rPr>
          <w:sz w:val="24"/>
          <w:szCs w:val="24"/>
        </w:rPr>
        <w:t>2023</w:t>
      </w:r>
      <w:r>
        <w:rPr>
          <w:sz w:val="24"/>
          <w:szCs w:val="24"/>
        </w:rPr>
        <w:t>年</w:t>
      </w:r>
      <w:r>
        <w:rPr>
          <w:sz w:val="24"/>
          <w:szCs w:val="24"/>
        </w:rPr>
        <w:t>8</w:t>
      </w:r>
      <w:r>
        <w:rPr>
          <w:sz w:val="24"/>
          <w:szCs w:val="24"/>
        </w:rPr>
        <w:t>月</w:t>
      </w:r>
      <w:r>
        <w:rPr>
          <w:sz w:val="24"/>
          <w:szCs w:val="24"/>
        </w:rPr>
        <w:t>26</w:t>
      </w:r>
      <w:r>
        <w:rPr>
          <w:sz w:val="24"/>
          <w:szCs w:val="24"/>
        </w:rPr>
        <w:t>日在巨潮资讯网（</w:t>
      </w:r>
      <w:r>
        <w:rPr>
          <w:sz w:val="24"/>
          <w:szCs w:val="24"/>
        </w:rPr>
        <w:t>www.cninfo.com.cn</w:t>
      </w:r>
      <w:r>
        <w:rPr>
          <w:sz w:val="24"/>
          <w:szCs w:val="24"/>
        </w:rPr>
        <w:t>）、上海证券报、证券时</w:t>
      </w:r>
      <w:r>
        <w:rPr>
          <w:sz w:val="24"/>
          <w:szCs w:val="24"/>
        </w:rPr>
        <w:lastRenderedPageBreak/>
        <w:t>报披露的相关内容。</w:t>
      </w:r>
    </w:p>
    <w:p w14:paraId="615E94E2" w14:textId="77777777" w:rsidR="00000000" w:rsidRDefault="00000000">
      <w:pPr>
        <w:spacing w:line="360" w:lineRule="auto"/>
        <w:ind w:firstLineChars="200" w:firstLine="480"/>
        <w:rPr>
          <w:sz w:val="24"/>
          <w:szCs w:val="24"/>
        </w:rPr>
      </w:pPr>
      <w:r>
        <w:rPr>
          <w:sz w:val="24"/>
          <w:szCs w:val="24"/>
        </w:rPr>
        <w:t>表决情况：</w:t>
      </w:r>
      <w:r>
        <w:rPr>
          <w:sz w:val="24"/>
          <w:szCs w:val="24"/>
        </w:rPr>
        <w:t>9</w:t>
      </w:r>
      <w:r>
        <w:rPr>
          <w:sz w:val="24"/>
          <w:szCs w:val="24"/>
        </w:rPr>
        <w:t>票同意、</w:t>
      </w:r>
      <w:r>
        <w:rPr>
          <w:sz w:val="24"/>
          <w:szCs w:val="24"/>
        </w:rPr>
        <w:t>0</w:t>
      </w:r>
      <w:r>
        <w:rPr>
          <w:sz w:val="24"/>
          <w:szCs w:val="24"/>
        </w:rPr>
        <w:t>票反对、</w:t>
      </w:r>
      <w:r>
        <w:rPr>
          <w:sz w:val="24"/>
          <w:szCs w:val="24"/>
        </w:rPr>
        <w:t>0</w:t>
      </w:r>
      <w:r>
        <w:rPr>
          <w:sz w:val="24"/>
          <w:szCs w:val="24"/>
        </w:rPr>
        <w:t>票弃权、</w:t>
      </w:r>
      <w:r>
        <w:rPr>
          <w:sz w:val="24"/>
          <w:szCs w:val="24"/>
        </w:rPr>
        <w:t>0</w:t>
      </w:r>
      <w:r>
        <w:rPr>
          <w:sz w:val="24"/>
          <w:szCs w:val="24"/>
        </w:rPr>
        <w:t>票回避</w:t>
      </w:r>
    </w:p>
    <w:p w14:paraId="04828D8D" w14:textId="77777777" w:rsidR="00000000" w:rsidRDefault="00000000">
      <w:pPr>
        <w:spacing w:line="360" w:lineRule="auto"/>
        <w:ind w:firstLineChars="200" w:firstLine="480"/>
        <w:rPr>
          <w:sz w:val="24"/>
          <w:szCs w:val="24"/>
        </w:rPr>
      </w:pPr>
      <w:r>
        <w:rPr>
          <w:sz w:val="24"/>
          <w:szCs w:val="24"/>
        </w:rPr>
        <w:t>表决结果：通过</w:t>
      </w:r>
    </w:p>
    <w:p w14:paraId="1F7D1FD5" w14:textId="77777777" w:rsidR="00000000" w:rsidRDefault="00000000">
      <w:pPr>
        <w:adjustRightInd w:val="0"/>
        <w:snapToGrid w:val="0"/>
        <w:spacing w:beforeLines="30" w:before="93" w:afterLines="30" w:after="93" w:line="360" w:lineRule="auto"/>
        <w:ind w:firstLineChars="200" w:firstLine="482"/>
        <w:outlineLvl w:val="1"/>
        <w:rPr>
          <w:rFonts w:ascii="Calibri" w:hAnsi="Calibri"/>
          <w:b/>
          <w:sz w:val="24"/>
          <w:szCs w:val="24"/>
        </w:rPr>
      </w:pPr>
      <w:r>
        <w:rPr>
          <w:rFonts w:ascii="Calibri" w:hAnsi="Calibri" w:hint="eastAsia"/>
          <w:b/>
          <w:sz w:val="24"/>
          <w:szCs w:val="24"/>
        </w:rPr>
        <w:t>（二十七）</w:t>
      </w:r>
      <w:r>
        <w:rPr>
          <w:rFonts w:ascii="Calibri" w:hAnsi="Calibri"/>
          <w:b/>
          <w:sz w:val="24"/>
          <w:szCs w:val="24"/>
        </w:rPr>
        <w:t>审议通过《</w:t>
      </w:r>
      <w:r>
        <w:rPr>
          <w:rFonts w:ascii="Calibri" w:hAnsi="Calibri" w:hint="eastAsia"/>
          <w:b/>
          <w:sz w:val="24"/>
          <w:szCs w:val="24"/>
        </w:rPr>
        <w:t>关</w:t>
      </w:r>
      <w:r>
        <w:rPr>
          <w:b/>
          <w:sz w:val="24"/>
          <w:szCs w:val="24"/>
        </w:rPr>
        <w:t>于</w:t>
      </w:r>
      <w:r>
        <w:rPr>
          <w:b/>
          <w:sz w:val="24"/>
          <w:szCs w:val="24"/>
        </w:rPr>
        <w:t>2023</w:t>
      </w:r>
      <w:r>
        <w:rPr>
          <w:b/>
          <w:sz w:val="24"/>
          <w:szCs w:val="24"/>
        </w:rPr>
        <w:t>年半</w:t>
      </w:r>
      <w:r>
        <w:rPr>
          <w:rFonts w:ascii="Calibri" w:hAnsi="Calibri" w:hint="eastAsia"/>
          <w:b/>
          <w:sz w:val="24"/>
          <w:szCs w:val="24"/>
        </w:rPr>
        <w:t>年度募集资金存放与使用情况的专项报告的议案</w:t>
      </w:r>
      <w:r>
        <w:rPr>
          <w:rFonts w:ascii="Calibri" w:hAnsi="Calibri"/>
          <w:b/>
          <w:sz w:val="24"/>
          <w:szCs w:val="24"/>
        </w:rPr>
        <w:t>》</w:t>
      </w:r>
    </w:p>
    <w:p w14:paraId="1E3AFE68" w14:textId="77777777" w:rsidR="00000000" w:rsidRDefault="00000000">
      <w:pPr>
        <w:adjustRightInd w:val="0"/>
        <w:snapToGrid w:val="0"/>
        <w:spacing w:line="360" w:lineRule="auto"/>
        <w:ind w:firstLineChars="200" w:firstLine="480"/>
        <w:rPr>
          <w:rFonts w:ascii="Calibri" w:hAnsi="Calibri" w:hint="eastAsia"/>
          <w:sz w:val="24"/>
          <w:szCs w:val="24"/>
        </w:rPr>
      </w:pPr>
      <w:r>
        <w:rPr>
          <w:rFonts w:ascii="Calibri" w:hAnsi="Calibri" w:hint="eastAsia"/>
          <w:sz w:val="24"/>
          <w:szCs w:val="24"/>
        </w:rPr>
        <w:t>经审议，董事会同意批准</w:t>
      </w:r>
      <w:r>
        <w:rPr>
          <w:sz w:val="24"/>
          <w:szCs w:val="24"/>
        </w:rPr>
        <w:t>公司</w:t>
      </w:r>
      <w:r>
        <w:rPr>
          <w:sz w:val="24"/>
          <w:szCs w:val="24"/>
        </w:rPr>
        <w:t>2023</w:t>
      </w:r>
      <w:r>
        <w:rPr>
          <w:sz w:val="24"/>
          <w:szCs w:val="24"/>
        </w:rPr>
        <w:t>年半</w:t>
      </w:r>
      <w:r>
        <w:rPr>
          <w:rFonts w:ascii="Calibri" w:hAnsi="Calibri" w:hint="eastAsia"/>
          <w:sz w:val="24"/>
          <w:szCs w:val="24"/>
        </w:rPr>
        <w:t>年度募集资金存放与使用情况的专项报告。</w:t>
      </w:r>
      <w:r>
        <w:rPr>
          <w:sz w:val="24"/>
          <w:szCs w:val="24"/>
        </w:rPr>
        <w:t>议案的具体内容详见公司于</w:t>
      </w:r>
      <w:r>
        <w:rPr>
          <w:sz w:val="24"/>
          <w:szCs w:val="24"/>
        </w:rPr>
        <w:t>202</w:t>
      </w:r>
      <w:r>
        <w:rPr>
          <w:rFonts w:hint="eastAsia"/>
          <w:sz w:val="24"/>
          <w:szCs w:val="24"/>
        </w:rPr>
        <w:t>3</w:t>
      </w:r>
      <w:r>
        <w:rPr>
          <w:sz w:val="24"/>
          <w:szCs w:val="24"/>
        </w:rPr>
        <w:t>年</w:t>
      </w:r>
      <w:r>
        <w:rPr>
          <w:sz w:val="24"/>
          <w:szCs w:val="24"/>
        </w:rPr>
        <w:t>8</w:t>
      </w:r>
      <w:r>
        <w:rPr>
          <w:sz w:val="24"/>
          <w:szCs w:val="24"/>
        </w:rPr>
        <w:t>月</w:t>
      </w:r>
      <w:r>
        <w:rPr>
          <w:sz w:val="24"/>
          <w:szCs w:val="24"/>
        </w:rPr>
        <w:t>2</w:t>
      </w:r>
      <w:r>
        <w:rPr>
          <w:rFonts w:hint="eastAsia"/>
          <w:sz w:val="24"/>
          <w:szCs w:val="24"/>
        </w:rPr>
        <w:t>6</w:t>
      </w:r>
      <w:r>
        <w:rPr>
          <w:sz w:val="24"/>
          <w:szCs w:val="24"/>
        </w:rPr>
        <w:t>日在巨潮资讯网（</w:t>
      </w:r>
      <w:r>
        <w:rPr>
          <w:sz w:val="24"/>
          <w:szCs w:val="24"/>
        </w:rPr>
        <w:t>www.cninfo.com.cn</w:t>
      </w:r>
      <w:r>
        <w:rPr>
          <w:sz w:val="24"/>
          <w:szCs w:val="24"/>
        </w:rPr>
        <w:t>）、</w:t>
      </w:r>
      <w:r>
        <w:rPr>
          <w:rFonts w:hint="eastAsia"/>
          <w:sz w:val="24"/>
          <w:szCs w:val="24"/>
        </w:rPr>
        <w:t>上海</w:t>
      </w:r>
      <w:r>
        <w:rPr>
          <w:sz w:val="24"/>
          <w:szCs w:val="24"/>
        </w:rPr>
        <w:t>证券报、证券时报披露的相关内容。</w:t>
      </w:r>
    </w:p>
    <w:p w14:paraId="583E8EF5" w14:textId="77777777" w:rsidR="00000000" w:rsidRDefault="00000000">
      <w:pPr>
        <w:spacing w:line="360" w:lineRule="auto"/>
        <w:ind w:firstLineChars="200" w:firstLine="480"/>
        <w:rPr>
          <w:sz w:val="24"/>
          <w:szCs w:val="24"/>
        </w:rPr>
      </w:pPr>
      <w:r>
        <w:rPr>
          <w:sz w:val="24"/>
          <w:szCs w:val="24"/>
        </w:rPr>
        <w:t>表决情况：</w:t>
      </w:r>
      <w:r>
        <w:rPr>
          <w:sz w:val="24"/>
          <w:szCs w:val="24"/>
        </w:rPr>
        <w:t>9</w:t>
      </w:r>
      <w:r>
        <w:rPr>
          <w:sz w:val="24"/>
          <w:szCs w:val="24"/>
        </w:rPr>
        <w:t>票同意、</w:t>
      </w:r>
      <w:r>
        <w:rPr>
          <w:sz w:val="24"/>
          <w:szCs w:val="24"/>
        </w:rPr>
        <w:t>0</w:t>
      </w:r>
      <w:r>
        <w:rPr>
          <w:sz w:val="24"/>
          <w:szCs w:val="24"/>
        </w:rPr>
        <w:t>票反对、</w:t>
      </w:r>
      <w:r>
        <w:rPr>
          <w:sz w:val="24"/>
          <w:szCs w:val="24"/>
        </w:rPr>
        <w:t>0</w:t>
      </w:r>
      <w:r>
        <w:rPr>
          <w:sz w:val="24"/>
          <w:szCs w:val="24"/>
        </w:rPr>
        <w:t>票弃权、</w:t>
      </w:r>
      <w:r>
        <w:rPr>
          <w:sz w:val="24"/>
          <w:szCs w:val="24"/>
        </w:rPr>
        <w:t>0</w:t>
      </w:r>
      <w:r>
        <w:rPr>
          <w:sz w:val="24"/>
          <w:szCs w:val="24"/>
        </w:rPr>
        <w:t>票回避</w:t>
      </w:r>
    </w:p>
    <w:p w14:paraId="72FF292A" w14:textId="77777777" w:rsidR="00000000" w:rsidRDefault="00000000">
      <w:pPr>
        <w:spacing w:line="360" w:lineRule="auto"/>
        <w:ind w:firstLineChars="200" w:firstLine="480"/>
        <w:rPr>
          <w:rFonts w:ascii="Calibri" w:hAnsi="Calibri"/>
          <w:sz w:val="24"/>
          <w:szCs w:val="24"/>
        </w:rPr>
      </w:pPr>
      <w:r>
        <w:rPr>
          <w:rFonts w:ascii="Calibri" w:hAnsi="Calibri"/>
          <w:sz w:val="24"/>
          <w:szCs w:val="24"/>
        </w:rPr>
        <w:t>表决结果：通过</w:t>
      </w:r>
    </w:p>
    <w:p w14:paraId="41DB1A22" w14:textId="77777777" w:rsidR="00000000" w:rsidRDefault="00000000">
      <w:pPr>
        <w:adjustRightInd w:val="0"/>
        <w:snapToGrid w:val="0"/>
        <w:spacing w:beforeLines="30" w:before="93" w:afterLines="30" w:after="93" w:line="360" w:lineRule="auto"/>
        <w:ind w:firstLineChars="200" w:firstLine="482"/>
        <w:outlineLvl w:val="1"/>
        <w:rPr>
          <w:rFonts w:ascii="Calibri" w:hAnsi="Calibri"/>
          <w:b/>
          <w:sz w:val="24"/>
          <w:szCs w:val="24"/>
        </w:rPr>
      </w:pPr>
      <w:r>
        <w:rPr>
          <w:rFonts w:ascii="Calibri" w:hAnsi="Calibri" w:hint="eastAsia"/>
          <w:b/>
          <w:sz w:val="24"/>
          <w:szCs w:val="24"/>
        </w:rPr>
        <w:t>（二十八）</w:t>
      </w:r>
      <w:r>
        <w:rPr>
          <w:rFonts w:ascii="Calibri" w:hAnsi="Calibri"/>
          <w:b/>
          <w:sz w:val="24"/>
          <w:szCs w:val="24"/>
        </w:rPr>
        <w:t>审议通过《</w:t>
      </w:r>
      <w:r>
        <w:rPr>
          <w:rFonts w:ascii="Calibri" w:hAnsi="Calibri" w:hint="eastAsia"/>
          <w:b/>
          <w:sz w:val="24"/>
          <w:szCs w:val="24"/>
        </w:rPr>
        <w:t>关于中广核财务有限责任公司风险评估报告的议案</w:t>
      </w:r>
      <w:r>
        <w:rPr>
          <w:rFonts w:ascii="Calibri" w:hAnsi="Calibri"/>
          <w:b/>
          <w:sz w:val="24"/>
          <w:szCs w:val="24"/>
        </w:rPr>
        <w:t>》</w:t>
      </w:r>
    </w:p>
    <w:p w14:paraId="0D865728" w14:textId="77777777" w:rsidR="00000000" w:rsidRDefault="00000000">
      <w:pPr>
        <w:spacing w:line="360" w:lineRule="auto"/>
        <w:ind w:firstLineChars="200" w:firstLine="480"/>
        <w:rPr>
          <w:sz w:val="24"/>
          <w:szCs w:val="24"/>
        </w:rPr>
      </w:pPr>
      <w:r>
        <w:rPr>
          <w:rFonts w:ascii="Calibri" w:hAnsi="Calibri"/>
          <w:sz w:val="24"/>
          <w:szCs w:val="24"/>
        </w:rPr>
        <w:t>截至</w:t>
      </w:r>
      <w:r>
        <w:rPr>
          <w:sz w:val="24"/>
          <w:szCs w:val="24"/>
        </w:rPr>
        <w:t>2023</w:t>
      </w:r>
      <w:r>
        <w:rPr>
          <w:sz w:val="24"/>
          <w:szCs w:val="24"/>
        </w:rPr>
        <w:t>年</w:t>
      </w:r>
      <w:r>
        <w:rPr>
          <w:sz w:val="24"/>
          <w:szCs w:val="24"/>
        </w:rPr>
        <w:t>6</w:t>
      </w:r>
      <w:r>
        <w:rPr>
          <w:sz w:val="24"/>
          <w:szCs w:val="24"/>
        </w:rPr>
        <w:t>月</w:t>
      </w:r>
      <w:r>
        <w:rPr>
          <w:sz w:val="24"/>
          <w:szCs w:val="24"/>
        </w:rPr>
        <w:t>30</w:t>
      </w:r>
      <w:r>
        <w:rPr>
          <w:sz w:val="24"/>
          <w:szCs w:val="24"/>
        </w:rPr>
        <w:t>日，公司认为财务公司具有《金融许可证》《营业执照》等合法有效的经营资质，财务公司及其业务合法合规，公司未发现财务公司内控制度存在重大缺陷，未发现财务公司存在违反《企业集团财务公司管理办法》规定的情形，各项监管指标符合《企业集团财务公司</w:t>
      </w:r>
      <w:r>
        <w:rPr>
          <w:rFonts w:ascii="Calibri" w:hAnsi="Calibri" w:hint="eastAsia"/>
          <w:sz w:val="24"/>
          <w:szCs w:val="24"/>
        </w:rPr>
        <w:t>管理办法》第三十四条的规定要求，公司与财务公司发生的关联交易、存贷款业务风险可控。</w:t>
      </w:r>
      <w:r>
        <w:rPr>
          <w:sz w:val="24"/>
          <w:szCs w:val="24"/>
        </w:rPr>
        <w:t>议案的具体内容详见公司于</w:t>
      </w:r>
      <w:r>
        <w:rPr>
          <w:sz w:val="24"/>
          <w:szCs w:val="24"/>
        </w:rPr>
        <w:t>202</w:t>
      </w:r>
      <w:r>
        <w:rPr>
          <w:rFonts w:hint="eastAsia"/>
          <w:sz w:val="24"/>
          <w:szCs w:val="24"/>
        </w:rPr>
        <w:t>3</w:t>
      </w:r>
      <w:r>
        <w:rPr>
          <w:sz w:val="24"/>
          <w:szCs w:val="24"/>
        </w:rPr>
        <w:t>年</w:t>
      </w:r>
      <w:r>
        <w:rPr>
          <w:sz w:val="24"/>
          <w:szCs w:val="24"/>
        </w:rPr>
        <w:t>8</w:t>
      </w:r>
      <w:r>
        <w:rPr>
          <w:sz w:val="24"/>
          <w:szCs w:val="24"/>
        </w:rPr>
        <w:t>月</w:t>
      </w:r>
      <w:r>
        <w:rPr>
          <w:sz w:val="24"/>
          <w:szCs w:val="24"/>
        </w:rPr>
        <w:t>2</w:t>
      </w:r>
      <w:r>
        <w:rPr>
          <w:rFonts w:hint="eastAsia"/>
          <w:sz w:val="24"/>
          <w:szCs w:val="24"/>
        </w:rPr>
        <w:t>6</w:t>
      </w:r>
      <w:r>
        <w:rPr>
          <w:sz w:val="24"/>
          <w:szCs w:val="24"/>
        </w:rPr>
        <w:t>日在巨潮资讯网（</w:t>
      </w:r>
      <w:r>
        <w:rPr>
          <w:sz w:val="24"/>
          <w:szCs w:val="24"/>
        </w:rPr>
        <w:t>www.cninfo.com.cn</w:t>
      </w:r>
      <w:r>
        <w:rPr>
          <w:sz w:val="24"/>
          <w:szCs w:val="24"/>
        </w:rPr>
        <w:t>）披露的相关内容。</w:t>
      </w:r>
    </w:p>
    <w:p w14:paraId="75CA53F9" w14:textId="77777777" w:rsidR="00000000" w:rsidRDefault="00000000">
      <w:pPr>
        <w:spacing w:line="360" w:lineRule="auto"/>
        <w:ind w:firstLineChars="200" w:firstLine="480"/>
        <w:rPr>
          <w:sz w:val="24"/>
          <w:szCs w:val="24"/>
        </w:rPr>
      </w:pPr>
      <w:r>
        <w:rPr>
          <w:sz w:val="24"/>
          <w:szCs w:val="24"/>
        </w:rPr>
        <w:t>表决情况：</w:t>
      </w:r>
      <w:r>
        <w:rPr>
          <w:sz w:val="24"/>
          <w:szCs w:val="24"/>
        </w:rPr>
        <w:t>5</w:t>
      </w:r>
      <w:r>
        <w:rPr>
          <w:sz w:val="24"/>
          <w:szCs w:val="24"/>
        </w:rPr>
        <w:t>票同意、</w:t>
      </w:r>
      <w:r>
        <w:rPr>
          <w:sz w:val="24"/>
          <w:szCs w:val="24"/>
        </w:rPr>
        <w:t>0</w:t>
      </w:r>
      <w:r>
        <w:rPr>
          <w:sz w:val="24"/>
          <w:szCs w:val="24"/>
        </w:rPr>
        <w:t>票反对、</w:t>
      </w:r>
      <w:r>
        <w:rPr>
          <w:sz w:val="24"/>
          <w:szCs w:val="24"/>
        </w:rPr>
        <w:t>0</w:t>
      </w:r>
      <w:r>
        <w:rPr>
          <w:sz w:val="24"/>
          <w:szCs w:val="24"/>
        </w:rPr>
        <w:t>票弃权、</w:t>
      </w:r>
      <w:r>
        <w:rPr>
          <w:sz w:val="24"/>
          <w:szCs w:val="24"/>
        </w:rPr>
        <w:t>4</w:t>
      </w:r>
      <w:r>
        <w:rPr>
          <w:sz w:val="24"/>
          <w:szCs w:val="24"/>
        </w:rPr>
        <w:t>票回避</w:t>
      </w:r>
    </w:p>
    <w:p w14:paraId="6E046B5E" w14:textId="77777777" w:rsidR="00000000" w:rsidRDefault="00000000">
      <w:pPr>
        <w:spacing w:before="50" w:after="50" w:line="360" w:lineRule="auto"/>
        <w:ind w:firstLineChars="200" w:firstLine="480"/>
        <w:rPr>
          <w:bCs/>
          <w:sz w:val="24"/>
          <w:szCs w:val="24"/>
        </w:rPr>
      </w:pPr>
      <w:r>
        <w:rPr>
          <w:bCs/>
          <w:sz w:val="24"/>
          <w:szCs w:val="24"/>
        </w:rPr>
        <w:t>关联董事李勇、盛国福、陈新国、文志涛已回避表决。</w:t>
      </w:r>
    </w:p>
    <w:p w14:paraId="3A97F55A" w14:textId="77777777" w:rsidR="00000000" w:rsidRDefault="00000000">
      <w:pPr>
        <w:spacing w:line="360" w:lineRule="auto"/>
        <w:ind w:firstLineChars="200" w:firstLine="480"/>
        <w:rPr>
          <w:sz w:val="24"/>
          <w:szCs w:val="24"/>
        </w:rPr>
      </w:pPr>
      <w:r>
        <w:rPr>
          <w:sz w:val="24"/>
          <w:szCs w:val="24"/>
        </w:rPr>
        <w:t>表决结果：通过</w:t>
      </w:r>
    </w:p>
    <w:p w14:paraId="72AC4F70" w14:textId="77777777" w:rsidR="00000000" w:rsidRDefault="00000000">
      <w:pPr>
        <w:adjustRightInd w:val="0"/>
        <w:snapToGrid w:val="0"/>
        <w:spacing w:beforeLines="30" w:before="93" w:afterLines="30" w:after="93" w:line="360" w:lineRule="auto"/>
        <w:ind w:firstLineChars="200" w:firstLine="482"/>
        <w:outlineLvl w:val="1"/>
        <w:rPr>
          <w:rFonts w:ascii="Calibri" w:hAnsi="Calibri"/>
          <w:b/>
          <w:sz w:val="24"/>
          <w:szCs w:val="24"/>
        </w:rPr>
      </w:pPr>
      <w:r>
        <w:rPr>
          <w:rFonts w:ascii="Calibri" w:hAnsi="Calibri" w:hint="eastAsia"/>
          <w:b/>
          <w:sz w:val="24"/>
          <w:szCs w:val="24"/>
        </w:rPr>
        <w:t>（二十九）</w:t>
      </w:r>
      <w:r>
        <w:rPr>
          <w:rFonts w:ascii="Calibri" w:hAnsi="Calibri"/>
          <w:b/>
          <w:sz w:val="24"/>
          <w:szCs w:val="24"/>
        </w:rPr>
        <w:t>审议通过《</w:t>
      </w:r>
      <w:r>
        <w:rPr>
          <w:rFonts w:ascii="Calibri" w:hAnsi="Calibri" w:hint="eastAsia"/>
          <w:b/>
          <w:sz w:val="24"/>
          <w:szCs w:val="24"/>
        </w:rPr>
        <w:t>关于修订</w:t>
      </w:r>
      <w:r>
        <w:rPr>
          <w:rFonts w:ascii="Calibri" w:hAnsi="Calibri" w:hint="eastAsia"/>
          <w:b/>
          <w:sz w:val="24"/>
          <w:szCs w:val="24"/>
        </w:rPr>
        <w:t>&lt;</w:t>
      </w:r>
      <w:r>
        <w:rPr>
          <w:rFonts w:ascii="Calibri" w:hAnsi="Calibri" w:hint="eastAsia"/>
          <w:b/>
          <w:sz w:val="24"/>
          <w:szCs w:val="24"/>
        </w:rPr>
        <w:t>合规管理制度</w:t>
      </w:r>
      <w:r>
        <w:rPr>
          <w:rFonts w:ascii="Calibri" w:hAnsi="Calibri" w:hint="eastAsia"/>
          <w:b/>
          <w:sz w:val="24"/>
          <w:szCs w:val="24"/>
        </w:rPr>
        <w:t>&gt;</w:t>
      </w:r>
      <w:r>
        <w:rPr>
          <w:rFonts w:ascii="Calibri" w:hAnsi="Calibri" w:hint="eastAsia"/>
          <w:b/>
          <w:sz w:val="24"/>
          <w:szCs w:val="24"/>
        </w:rPr>
        <w:t>的议案</w:t>
      </w:r>
      <w:r>
        <w:rPr>
          <w:rFonts w:ascii="Calibri" w:hAnsi="Calibri"/>
          <w:b/>
          <w:sz w:val="24"/>
          <w:szCs w:val="24"/>
        </w:rPr>
        <w:t>》</w:t>
      </w:r>
    </w:p>
    <w:p w14:paraId="57708268" w14:textId="77777777" w:rsidR="00000000" w:rsidRDefault="00000000">
      <w:pPr>
        <w:spacing w:line="360" w:lineRule="auto"/>
        <w:ind w:firstLineChars="200" w:firstLine="480"/>
        <w:rPr>
          <w:rFonts w:ascii="Calibri" w:hAnsi="Calibri"/>
          <w:sz w:val="24"/>
          <w:szCs w:val="24"/>
        </w:rPr>
      </w:pPr>
      <w:r>
        <w:rPr>
          <w:rFonts w:ascii="Calibri" w:hAnsi="Calibri" w:hint="eastAsia"/>
          <w:sz w:val="24"/>
          <w:szCs w:val="24"/>
        </w:rPr>
        <w:t>经审议，董事会同意修订《合规管理制度》。议案的具体内容详见公</w:t>
      </w:r>
      <w:r>
        <w:rPr>
          <w:sz w:val="24"/>
          <w:szCs w:val="24"/>
        </w:rPr>
        <w:t>司于</w:t>
      </w:r>
      <w:r>
        <w:rPr>
          <w:sz w:val="24"/>
          <w:szCs w:val="24"/>
        </w:rPr>
        <w:t>2023</w:t>
      </w:r>
      <w:r>
        <w:rPr>
          <w:sz w:val="24"/>
          <w:szCs w:val="24"/>
        </w:rPr>
        <w:t>年</w:t>
      </w:r>
      <w:r>
        <w:rPr>
          <w:sz w:val="24"/>
          <w:szCs w:val="24"/>
        </w:rPr>
        <w:t>8</w:t>
      </w:r>
      <w:r>
        <w:rPr>
          <w:sz w:val="24"/>
          <w:szCs w:val="24"/>
        </w:rPr>
        <w:t>月</w:t>
      </w:r>
      <w:r>
        <w:rPr>
          <w:sz w:val="24"/>
          <w:szCs w:val="24"/>
        </w:rPr>
        <w:t>26</w:t>
      </w:r>
      <w:r>
        <w:rPr>
          <w:sz w:val="24"/>
          <w:szCs w:val="24"/>
        </w:rPr>
        <w:t>日在</w:t>
      </w:r>
      <w:r>
        <w:rPr>
          <w:rFonts w:ascii="Calibri" w:hAnsi="Calibri" w:hint="eastAsia"/>
          <w:sz w:val="24"/>
          <w:szCs w:val="24"/>
        </w:rPr>
        <w:t>巨潮资讯网（</w:t>
      </w:r>
      <w:r>
        <w:rPr>
          <w:rFonts w:ascii="Calibri" w:hAnsi="Calibri" w:hint="eastAsia"/>
          <w:sz w:val="24"/>
          <w:szCs w:val="24"/>
        </w:rPr>
        <w:t>www.cninfo.com.cn</w:t>
      </w:r>
      <w:r>
        <w:rPr>
          <w:rFonts w:ascii="Calibri" w:hAnsi="Calibri" w:hint="eastAsia"/>
          <w:sz w:val="24"/>
          <w:szCs w:val="24"/>
        </w:rPr>
        <w:t>）披露的相关内容。</w:t>
      </w:r>
    </w:p>
    <w:p w14:paraId="1247C067" w14:textId="77777777" w:rsidR="00000000" w:rsidRDefault="00000000">
      <w:pPr>
        <w:spacing w:line="360" w:lineRule="auto"/>
        <w:ind w:firstLineChars="200" w:firstLine="480"/>
        <w:rPr>
          <w:sz w:val="24"/>
          <w:szCs w:val="24"/>
        </w:rPr>
      </w:pPr>
      <w:r>
        <w:rPr>
          <w:sz w:val="24"/>
          <w:szCs w:val="24"/>
        </w:rPr>
        <w:t>表决情况：</w:t>
      </w:r>
      <w:r>
        <w:rPr>
          <w:sz w:val="24"/>
          <w:szCs w:val="24"/>
        </w:rPr>
        <w:t>9</w:t>
      </w:r>
      <w:r>
        <w:rPr>
          <w:sz w:val="24"/>
          <w:szCs w:val="24"/>
        </w:rPr>
        <w:t>票同意、</w:t>
      </w:r>
      <w:r>
        <w:rPr>
          <w:sz w:val="24"/>
          <w:szCs w:val="24"/>
        </w:rPr>
        <w:t>0</w:t>
      </w:r>
      <w:r>
        <w:rPr>
          <w:sz w:val="24"/>
          <w:szCs w:val="24"/>
        </w:rPr>
        <w:t>票反对、</w:t>
      </w:r>
      <w:r>
        <w:rPr>
          <w:sz w:val="24"/>
          <w:szCs w:val="24"/>
        </w:rPr>
        <w:t>0</w:t>
      </w:r>
      <w:r>
        <w:rPr>
          <w:sz w:val="24"/>
          <w:szCs w:val="24"/>
        </w:rPr>
        <w:t>票弃权、</w:t>
      </w:r>
      <w:r>
        <w:rPr>
          <w:sz w:val="24"/>
          <w:szCs w:val="24"/>
        </w:rPr>
        <w:t>0</w:t>
      </w:r>
      <w:r>
        <w:rPr>
          <w:sz w:val="24"/>
          <w:szCs w:val="24"/>
        </w:rPr>
        <w:t>票回避</w:t>
      </w:r>
    </w:p>
    <w:p w14:paraId="65ACE31E" w14:textId="77777777" w:rsidR="00000000" w:rsidRDefault="00000000">
      <w:pPr>
        <w:spacing w:line="360" w:lineRule="auto"/>
        <w:ind w:firstLineChars="200" w:firstLine="480"/>
        <w:rPr>
          <w:sz w:val="24"/>
        </w:rPr>
      </w:pPr>
      <w:r>
        <w:rPr>
          <w:sz w:val="24"/>
          <w:szCs w:val="24"/>
        </w:rPr>
        <w:t>表决结果：通过</w:t>
      </w:r>
    </w:p>
    <w:p w14:paraId="3491DC7A" w14:textId="77777777" w:rsidR="00000000" w:rsidRDefault="00000000">
      <w:pPr>
        <w:adjustRightInd w:val="0"/>
        <w:snapToGrid w:val="0"/>
        <w:spacing w:beforeLines="30" w:before="93" w:afterLines="30" w:after="93" w:line="360" w:lineRule="auto"/>
        <w:ind w:firstLineChars="200" w:firstLine="482"/>
        <w:outlineLvl w:val="1"/>
        <w:rPr>
          <w:b/>
          <w:sz w:val="24"/>
          <w:szCs w:val="24"/>
        </w:rPr>
      </w:pPr>
      <w:r>
        <w:rPr>
          <w:b/>
          <w:sz w:val="24"/>
          <w:szCs w:val="24"/>
        </w:rPr>
        <w:t>三、备查文件</w:t>
      </w:r>
    </w:p>
    <w:p w14:paraId="5AC40158" w14:textId="77777777" w:rsidR="00000000" w:rsidRDefault="00000000">
      <w:pPr>
        <w:spacing w:before="50" w:after="50" w:line="360" w:lineRule="auto"/>
        <w:ind w:firstLineChars="200" w:firstLine="480"/>
        <w:rPr>
          <w:sz w:val="24"/>
        </w:rPr>
      </w:pPr>
      <w:r>
        <w:rPr>
          <w:sz w:val="24"/>
        </w:rPr>
        <w:t>1</w:t>
      </w:r>
      <w:r>
        <w:rPr>
          <w:sz w:val="24"/>
        </w:rPr>
        <w:t>、第</w:t>
      </w:r>
      <w:r>
        <w:rPr>
          <w:rFonts w:hint="eastAsia"/>
          <w:sz w:val="24"/>
        </w:rPr>
        <w:t>十</w:t>
      </w:r>
      <w:r>
        <w:rPr>
          <w:sz w:val="24"/>
        </w:rPr>
        <w:t>届董事会第</w:t>
      </w:r>
      <w:r>
        <w:rPr>
          <w:rFonts w:hint="eastAsia"/>
          <w:sz w:val="24"/>
        </w:rPr>
        <w:t>九</w:t>
      </w:r>
      <w:r>
        <w:rPr>
          <w:sz w:val="24"/>
        </w:rPr>
        <w:t>次会议决议；</w:t>
      </w:r>
    </w:p>
    <w:p w14:paraId="2C7482AF" w14:textId="77777777" w:rsidR="00000000" w:rsidRDefault="00000000">
      <w:pPr>
        <w:spacing w:before="50" w:after="50" w:line="360" w:lineRule="auto"/>
        <w:ind w:firstLineChars="200" w:firstLine="480"/>
        <w:rPr>
          <w:sz w:val="24"/>
        </w:rPr>
      </w:pPr>
      <w:r>
        <w:rPr>
          <w:sz w:val="24"/>
        </w:rPr>
        <w:lastRenderedPageBreak/>
        <w:t>2</w:t>
      </w:r>
      <w:r>
        <w:rPr>
          <w:rFonts w:hint="eastAsia"/>
          <w:sz w:val="24"/>
        </w:rPr>
        <w:t>、</w:t>
      </w:r>
      <w:r>
        <w:rPr>
          <w:sz w:val="24"/>
        </w:rPr>
        <w:t>深交所要求的其他文件。</w:t>
      </w:r>
    </w:p>
    <w:p w14:paraId="0CC634C4" w14:textId="77777777" w:rsidR="00000000" w:rsidRDefault="00000000">
      <w:pPr>
        <w:spacing w:before="50" w:after="50" w:line="360" w:lineRule="auto"/>
        <w:ind w:firstLineChars="200" w:firstLine="480"/>
        <w:rPr>
          <w:sz w:val="24"/>
        </w:rPr>
      </w:pPr>
      <w:r>
        <w:rPr>
          <w:sz w:val="24"/>
        </w:rPr>
        <w:t>特此公告。</w:t>
      </w:r>
    </w:p>
    <w:p w14:paraId="2AE2F7BB" w14:textId="77777777" w:rsidR="00000000" w:rsidRDefault="00000000">
      <w:pPr>
        <w:spacing w:before="50" w:after="50" w:line="360" w:lineRule="auto"/>
        <w:ind w:firstLineChars="200" w:firstLine="480"/>
        <w:rPr>
          <w:sz w:val="24"/>
        </w:rPr>
      </w:pPr>
    </w:p>
    <w:p w14:paraId="60468112" w14:textId="77777777" w:rsidR="00000000" w:rsidRDefault="00000000">
      <w:pPr>
        <w:snapToGrid w:val="0"/>
        <w:spacing w:line="360" w:lineRule="auto"/>
        <w:ind w:firstLineChars="200" w:firstLine="480"/>
        <w:rPr>
          <w:sz w:val="24"/>
          <w:szCs w:val="24"/>
        </w:rPr>
      </w:pPr>
    </w:p>
    <w:p w14:paraId="0BD27BF7" w14:textId="77777777" w:rsidR="00000000" w:rsidRDefault="00000000">
      <w:pPr>
        <w:snapToGrid w:val="0"/>
        <w:spacing w:line="360" w:lineRule="auto"/>
        <w:ind w:firstLineChars="200" w:firstLine="480"/>
        <w:rPr>
          <w:sz w:val="24"/>
          <w:szCs w:val="24"/>
        </w:rPr>
      </w:pPr>
    </w:p>
    <w:p w14:paraId="24EA5FD7" w14:textId="77777777" w:rsidR="00000000" w:rsidRDefault="00000000">
      <w:pPr>
        <w:snapToGrid w:val="0"/>
        <w:spacing w:line="360" w:lineRule="auto"/>
        <w:ind w:firstLineChars="200" w:firstLine="482"/>
        <w:jc w:val="right"/>
        <w:rPr>
          <w:b/>
          <w:sz w:val="24"/>
          <w:szCs w:val="24"/>
        </w:rPr>
      </w:pPr>
      <w:r>
        <w:rPr>
          <w:b/>
          <w:sz w:val="24"/>
          <w:szCs w:val="24"/>
        </w:rPr>
        <w:t>中广核核技术发展股份有限公司</w:t>
      </w:r>
    </w:p>
    <w:p w14:paraId="4E6B7BEB" w14:textId="77777777" w:rsidR="00000000" w:rsidRDefault="00000000">
      <w:pPr>
        <w:snapToGrid w:val="0"/>
        <w:spacing w:line="360" w:lineRule="auto"/>
        <w:ind w:firstLineChars="200" w:firstLine="482"/>
        <w:jc w:val="right"/>
        <w:rPr>
          <w:b/>
          <w:sz w:val="24"/>
          <w:szCs w:val="24"/>
        </w:rPr>
      </w:pPr>
      <w:r>
        <w:rPr>
          <w:b/>
          <w:sz w:val="24"/>
          <w:szCs w:val="24"/>
        </w:rPr>
        <w:t>董事会</w:t>
      </w:r>
    </w:p>
    <w:p w14:paraId="0C7DC4C9" w14:textId="77777777" w:rsidR="002634A4" w:rsidRDefault="00000000">
      <w:pPr>
        <w:snapToGrid w:val="0"/>
        <w:spacing w:line="360" w:lineRule="auto"/>
        <w:ind w:firstLineChars="200" w:firstLine="482"/>
        <w:jc w:val="right"/>
        <w:rPr>
          <w:sz w:val="24"/>
          <w:szCs w:val="24"/>
        </w:rPr>
      </w:pPr>
      <w:r>
        <w:rPr>
          <w:b/>
          <w:sz w:val="24"/>
          <w:szCs w:val="24"/>
        </w:rPr>
        <w:t>2023</w:t>
      </w:r>
      <w:r>
        <w:rPr>
          <w:b/>
          <w:sz w:val="24"/>
          <w:szCs w:val="24"/>
        </w:rPr>
        <w:t>年</w:t>
      </w:r>
      <w:r>
        <w:rPr>
          <w:rFonts w:hint="eastAsia"/>
          <w:b/>
          <w:sz w:val="24"/>
          <w:szCs w:val="24"/>
        </w:rPr>
        <w:t>8</w:t>
      </w:r>
      <w:r>
        <w:rPr>
          <w:b/>
          <w:sz w:val="24"/>
          <w:szCs w:val="24"/>
        </w:rPr>
        <w:t>月</w:t>
      </w:r>
      <w:r>
        <w:rPr>
          <w:rFonts w:hint="eastAsia"/>
          <w:b/>
          <w:sz w:val="24"/>
          <w:szCs w:val="24"/>
        </w:rPr>
        <w:t>26</w:t>
      </w:r>
      <w:r>
        <w:rPr>
          <w:b/>
          <w:sz w:val="24"/>
          <w:szCs w:val="24"/>
        </w:rPr>
        <w:t>日</w:t>
      </w:r>
    </w:p>
    <w:sectPr w:rsidR="002634A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_GB2312">
    <w:altName w:val="楷体"/>
    <w:charset w:val="86"/>
    <w:family w:val="modern"/>
    <w:pitch w:val="default"/>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007"/>
    <w:multiLevelType w:val="singleLevel"/>
    <w:tmpl w:val="18CC0007"/>
    <w:lvl w:ilvl="0">
      <w:start w:val="6"/>
      <w:numFmt w:val="decimal"/>
      <w:lvlText w:val="%1、"/>
      <w:legacy w:legacy="1" w:legacySpace="0" w:legacyIndent="465"/>
      <w:lvlJc w:val="left"/>
      <w:pPr>
        <w:ind w:left="1035" w:hanging="465"/>
      </w:pPr>
      <w:rPr>
        <w:rFonts w:ascii="楷体_GB2312" w:eastAsia="楷体_GB2312" w:hint="eastAsia"/>
        <w:b w:val="0"/>
        <w:i w:val="0"/>
        <w:sz w:val="28"/>
        <w:u w:val="none"/>
      </w:rPr>
    </w:lvl>
  </w:abstractNum>
  <w:abstractNum w:abstractNumId="1" w15:restartNumberingAfterBreak="0">
    <w:nsid w:val="5C434A15"/>
    <w:multiLevelType w:val="multilevel"/>
    <w:tmpl w:val="5C434A15"/>
    <w:lvl w:ilvl="0">
      <w:start w:val="1"/>
      <w:numFmt w:val="upperLetter"/>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6EF27F96"/>
    <w:multiLevelType w:val="multilevel"/>
    <w:tmpl w:val="6EF27F96"/>
    <w:lvl w:ilvl="0">
      <w:start w:val="1"/>
      <w:numFmt w:val="decimal"/>
      <w:lvlText w:val="%1、"/>
      <w:lvlJc w:val="left"/>
      <w:pPr>
        <w:ind w:left="840" w:hanging="360"/>
      </w:pPr>
      <w:rPr>
        <w:rFonts w:hint="default"/>
      </w:rPr>
    </w:lvl>
    <w:lvl w:ilvl="1">
      <w:start w:val="9"/>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43098731">
    <w:abstractNumId w:val="0"/>
  </w:num>
  <w:num w:numId="2" w16cid:durableId="13070482">
    <w:abstractNumId w:val="2"/>
  </w:num>
  <w:num w:numId="3" w16cid:durableId="194125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69"/>
    <w:rsid w:val="000018E4"/>
    <w:rsid w:val="00001B05"/>
    <w:rsid w:val="00001F37"/>
    <w:rsid w:val="00003433"/>
    <w:rsid w:val="0000729F"/>
    <w:rsid w:val="00013BAD"/>
    <w:rsid w:val="00013DE7"/>
    <w:rsid w:val="0001484C"/>
    <w:rsid w:val="000222C4"/>
    <w:rsid w:val="00024767"/>
    <w:rsid w:val="000252E3"/>
    <w:rsid w:val="00027656"/>
    <w:rsid w:val="000315F7"/>
    <w:rsid w:val="00032084"/>
    <w:rsid w:val="000326D8"/>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67807"/>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8B5"/>
    <w:rsid w:val="00175CBF"/>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1B9B"/>
    <w:rsid w:val="001B46CC"/>
    <w:rsid w:val="001B71DD"/>
    <w:rsid w:val="001C1F46"/>
    <w:rsid w:val="001C3BDD"/>
    <w:rsid w:val="001C55C8"/>
    <w:rsid w:val="001D1554"/>
    <w:rsid w:val="001D1FD2"/>
    <w:rsid w:val="001D27C2"/>
    <w:rsid w:val="001D4F4C"/>
    <w:rsid w:val="001D7325"/>
    <w:rsid w:val="001E0411"/>
    <w:rsid w:val="001E1267"/>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46CBF"/>
    <w:rsid w:val="00253C07"/>
    <w:rsid w:val="00253EB5"/>
    <w:rsid w:val="002572B1"/>
    <w:rsid w:val="0025767F"/>
    <w:rsid w:val="0026017F"/>
    <w:rsid w:val="00261D1D"/>
    <w:rsid w:val="0026213E"/>
    <w:rsid w:val="002634A4"/>
    <w:rsid w:val="00264CD4"/>
    <w:rsid w:val="002654A6"/>
    <w:rsid w:val="00265BF8"/>
    <w:rsid w:val="00266E89"/>
    <w:rsid w:val="00267A6E"/>
    <w:rsid w:val="002710C2"/>
    <w:rsid w:val="002721D6"/>
    <w:rsid w:val="00272FA4"/>
    <w:rsid w:val="002733BF"/>
    <w:rsid w:val="00273AF5"/>
    <w:rsid w:val="00273E92"/>
    <w:rsid w:val="00274406"/>
    <w:rsid w:val="002815FE"/>
    <w:rsid w:val="002844B8"/>
    <w:rsid w:val="0028583F"/>
    <w:rsid w:val="00285ECD"/>
    <w:rsid w:val="00286AE0"/>
    <w:rsid w:val="0029131D"/>
    <w:rsid w:val="00292622"/>
    <w:rsid w:val="00292860"/>
    <w:rsid w:val="002931DB"/>
    <w:rsid w:val="00294C3D"/>
    <w:rsid w:val="00295EA0"/>
    <w:rsid w:val="00296EE8"/>
    <w:rsid w:val="002A04B8"/>
    <w:rsid w:val="002A4FCB"/>
    <w:rsid w:val="002A5C87"/>
    <w:rsid w:val="002B03AF"/>
    <w:rsid w:val="002B22B3"/>
    <w:rsid w:val="002B25AC"/>
    <w:rsid w:val="002C4293"/>
    <w:rsid w:val="002D21A8"/>
    <w:rsid w:val="002D4AB5"/>
    <w:rsid w:val="002D746D"/>
    <w:rsid w:val="002D7DFE"/>
    <w:rsid w:val="002E024D"/>
    <w:rsid w:val="002E03A2"/>
    <w:rsid w:val="002E3DE1"/>
    <w:rsid w:val="002E7E85"/>
    <w:rsid w:val="002E7F16"/>
    <w:rsid w:val="002F00BC"/>
    <w:rsid w:val="002F0134"/>
    <w:rsid w:val="002F15EF"/>
    <w:rsid w:val="002F6A0E"/>
    <w:rsid w:val="0030260F"/>
    <w:rsid w:val="00302905"/>
    <w:rsid w:val="003035D6"/>
    <w:rsid w:val="003043E1"/>
    <w:rsid w:val="00305A06"/>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435E"/>
    <w:rsid w:val="00337925"/>
    <w:rsid w:val="003435C2"/>
    <w:rsid w:val="00344860"/>
    <w:rsid w:val="00346C94"/>
    <w:rsid w:val="003505F5"/>
    <w:rsid w:val="003514E4"/>
    <w:rsid w:val="00352FDF"/>
    <w:rsid w:val="003539D7"/>
    <w:rsid w:val="00354346"/>
    <w:rsid w:val="003546AA"/>
    <w:rsid w:val="00356450"/>
    <w:rsid w:val="00357CAD"/>
    <w:rsid w:val="00360E17"/>
    <w:rsid w:val="00360FFC"/>
    <w:rsid w:val="00361182"/>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30AB"/>
    <w:rsid w:val="003B4BB5"/>
    <w:rsid w:val="003B546C"/>
    <w:rsid w:val="003C03F3"/>
    <w:rsid w:val="003C0743"/>
    <w:rsid w:val="003C0B6B"/>
    <w:rsid w:val="003C0CB3"/>
    <w:rsid w:val="003C2E06"/>
    <w:rsid w:val="003C5EA8"/>
    <w:rsid w:val="003C6F4E"/>
    <w:rsid w:val="003C6FE9"/>
    <w:rsid w:val="003D0362"/>
    <w:rsid w:val="003D1DEA"/>
    <w:rsid w:val="003D3D95"/>
    <w:rsid w:val="003D507D"/>
    <w:rsid w:val="003D60C8"/>
    <w:rsid w:val="003D6737"/>
    <w:rsid w:val="003D6BA8"/>
    <w:rsid w:val="003E0DBA"/>
    <w:rsid w:val="003E5295"/>
    <w:rsid w:val="003E54CA"/>
    <w:rsid w:val="003E584F"/>
    <w:rsid w:val="003E7FF5"/>
    <w:rsid w:val="003F0050"/>
    <w:rsid w:val="003F0402"/>
    <w:rsid w:val="003F07F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3601"/>
    <w:rsid w:val="00414DAF"/>
    <w:rsid w:val="00415A70"/>
    <w:rsid w:val="0041664F"/>
    <w:rsid w:val="00416DB9"/>
    <w:rsid w:val="00417251"/>
    <w:rsid w:val="0041747D"/>
    <w:rsid w:val="00420C33"/>
    <w:rsid w:val="00422294"/>
    <w:rsid w:val="00425D5C"/>
    <w:rsid w:val="00431201"/>
    <w:rsid w:val="0043136C"/>
    <w:rsid w:val="00431A2F"/>
    <w:rsid w:val="004326D7"/>
    <w:rsid w:val="00433A97"/>
    <w:rsid w:val="004377D7"/>
    <w:rsid w:val="004403AB"/>
    <w:rsid w:val="00442989"/>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C11"/>
    <w:rsid w:val="00475FED"/>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020A"/>
    <w:rsid w:val="004C2611"/>
    <w:rsid w:val="004D0DF8"/>
    <w:rsid w:val="004D0F2E"/>
    <w:rsid w:val="004D1890"/>
    <w:rsid w:val="004D24CE"/>
    <w:rsid w:val="004D4403"/>
    <w:rsid w:val="004D5EE0"/>
    <w:rsid w:val="004E0EB1"/>
    <w:rsid w:val="004E1014"/>
    <w:rsid w:val="004E1819"/>
    <w:rsid w:val="004E39CC"/>
    <w:rsid w:val="004E3A40"/>
    <w:rsid w:val="004E6620"/>
    <w:rsid w:val="004E7A89"/>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6EA8"/>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18B"/>
    <w:rsid w:val="00570EA4"/>
    <w:rsid w:val="005721B0"/>
    <w:rsid w:val="005777B9"/>
    <w:rsid w:val="00580136"/>
    <w:rsid w:val="00584937"/>
    <w:rsid w:val="00584BA1"/>
    <w:rsid w:val="00584DA1"/>
    <w:rsid w:val="00585497"/>
    <w:rsid w:val="005870C8"/>
    <w:rsid w:val="00587BF1"/>
    <w:rsid w:val="0059030C"/>
    <w:rsid w:val="00590CD5"/>
    <w:rsid w:val="00590D78"/>
    <w:rsid w:val="005956B0"/>
    <w:rsid w:val="00596D32"/>
    <w:rsid w:val="005A1320"/>
    <w:rsid w:val="005A4CEA"/>
    <w:rsid w:val="005A72D8"/>
    <w:rsid w:val="005B3619"/>
    <w:rsid w:val="005B3A52"/>
    <w:rsid w:val="005C0744"/>
    <w:rsid w:val="005C3F4D"/>
    <w:rsid w:val="005C41B1"/>
    <w:rsid w:val="005D149B"/>
    <w:rsid w:val="005D3F2F"/>
    <w:rsid w:val="005D7223"/>
    <w:rsid w:val="005E036A"/>
    <w:rsid w:val="005E0C92"/>
    <w:rsid w:val="005E105C"/>
    <w:rsid w:val="005E6583"/>
    <w:rsid w:val="005F1E32"/>
    <w:rsid w:val="005F2A66"/>
    <w:rsid w:val="005F2F9B"/>
    <w:rsid w:val="005F35E4"/>
    <w:rsid w:val="005F3CD7"/>
    <w:rsid w:val="005F7051"/>
    <w:rsid w:val="00601880"/>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1874"/>
    <w:rsid w:val="00662635"/>
    <w:rsid w:val="006634C7"/>
    <w:rsid w:val="00665DC4"/>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92E"/>
    <w:rsid w:val="006F5D6A"/>
    <w:rsid w:val="006F6E1C"/>
    <w:rsid w:val="006F715E"/>
    <w:rsid w:val="007005CA"/>
    <w:rsid w:val="00700761"/>
    <w:rsid w:val="00702303"/>
    <w:rsid w:val="00702852"/>
    <w:rsid w:val="00702A98"/>
    <w:rsid w:val="00702FAD"/>
    <w:rsid w:val="00706136"/>
    <w:rsid w:val="0070721E"/>
    <w:rsid w:val="00710858"/>
    <w:rsid w:val="007134A0"/>
    <w:rsid w:val="00716232"/>
    <w:rsid w:val="007162F2"/>
    <w:rsid w:val="00716C3D"/>
    <w:rsid w:val="00722AE8"/>
    <w:rsid w:val="0072305D"/>
    <w:rsid w:val="0072360C"/>
    <w:rsid w:val="00723937"/>
    <w:rsid w:val="007303CA"/>
    <w:rsid w:val="00730F53"/>
    <w:rsid w:val="007316ED"/>
    <w:rsid w:val="0073247B"/>
    <w:rsid w:val="00733D3D"/>
    <w:rsid w:val="00740AB8"/>
    <w:rsid w:val="0074467B"/>
    <w:rsid w:val="00744E34"/>
    <w:rsid w:val="00747593"/>
    <w:rsid w:val="00751696"/>
    <w:rsid w:val="00753911"/>
    <w:rsid w:val="00753AD4"/>
    <w:rsid w:val="007545CE"/>
    <w:rsid w:val="0075504F"/>
    <w:rsid w:val="007627B2"/>
    <w:rsid w:val="00770B79"/>
    <w:rsid w:val="007740D4"/>
    <w:rsid w:val="00775D17"/>
    <w:rsid w:val="00777B97"/>
    <w:rsid w:val="007802AE"/>
    <w:rsid w:val="007823C8"/>
    <w:rsid w:val="007838FB"/>
    <w:rsid w:val="007862F9"/>
    <w:rsid w:val="00786927"/>
    <w:rsid w:val="00793EB9"/>
    <w:rsid w:val="00794075"/>
    <w:rsid w:val="00797A7D"/>
    <w:rsid w:val="007A198A"/>
    <w:rsid w:val="007A2A9E"/>
    <w:rsid w:val="007A577B"/>
    <w:rsid w:val="007A62DB"/>
    <w:rsid w:val="007A6E3D"/>
    <w:rsid w:val="007A7F89"/>
    <w:rsid w:val="007B007C"/>
    <w:rsid w:val="007B2111"/>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2A84"/>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75F5A"/>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96D"/>
    <w:rsid w:val="008D3ADB"/>
    <w:rsid w:val="008D511F"/>
    <w:rsid w:val="008E1B45"/>
    <w:rsid w:val="008E2829"/>
    <w:rsid w:val="008E3435"/>
    <w:rsid w:val="008E6E4D"/>
    <w:rsid w:val="008E75FE"/>
    <w:rsid w:val="008E77FE"/>
    <w:rsid w:val="008E7C7B"/>
    <w:rsid w:val="008F19F4"/>
    <w:rsid w:val="008F3F5E"/>
    <w:rsid w:val="008F4325"/>
    <w:rsid w:val="008F4735"/>
    <w:rsid w:val="008F478A"/>
    <w:rsid w:val="008F6A95"/>
    <w:rsid w:val="008F7457"/>
    <w:rsid w:val="00911EDE"/>
    <w:rsid w:val="00912A93"/>
    <w:rsid w:val="00913D6F"/>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4ECA"/>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6A1"/>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427D"/>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86B5A"/>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697"/>
    <w:rsid w:val="00B54BED"/>
    <w:rsid w:val="00B56509"/>
    <w:rsid w:val="00B60136"/>
    <w:rsid w:val="00B60205"/>
    <w:rsid w:val="00B61285"/>
    <w:rsid w:val="00B61617"/>
    <w:rsid w:val="00B616C7"/>
    <w:rsid w:val="00B63347"/>
    <w:rsid w:val="00B637DC"/>
    <w:rsid w:val="00B6394E"/>
    <w:rsid w:val="00B6496A"/>
    <w:rsid w:val="00B650B4"/>
    <w:rsid w:val="00B67524"/>
    <w:rsid w:val="00B6794F"/>
    <w:rsid w:val="00B703CD"/>
    <w:rsid w:val="00B70DF2"/>
    <w:rsid w:val="00B72369"/>
    <w:rsid w:val="00B734A0"/>
    <w:rsid w:val="00B747EE"/>
    <w:rsid w:val="00B77DA7"/>
    <w:rsid w:val="00B806DF"/>
    <w:rsid w:val="00B8079F"/>
    <w:rsid w:val="00B81E50"/>
    <w:rsid w:val="00B82C78"/>
    <w:rsid w:val="00B8300A"/>
    <w:rsid w:val="00B8396E"/>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134"/>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1C9"/>
    <w:rsid w:val="00C73943"/>
    <w:rsid w:val="00C7465F"/>
    <w:rsid w:val="00C75664"/>
    <w:rsid w:val="00C7756B"/>
    <w:rsid w:val="00C77EC8"/>
    <w:rsid w:val="00C82400"/>
    <w:rsid w:val="00C83B33"/>
    <w:rsid w:val="00C83BC4"/>
    <w:rsid w:val="00C843B6"/>
    <w:rsid w:val="00C85A4E"/>
    <w:rsid w:val="00C85D9B"/>
    <w:rsid w:val="00C86D05"/>
    <w:rsid w:val="00C91367"/>
    <w:rsid w:val="00C91508"/>
    <w:rsid w:val="00C917E3"/>
    <w:rsid w:val="00C91A97"/>
    <w:rsid w:val="00C92F6D"/>
    <w:rsid w:val="00C962D0"/>
    <w:rsid w:val="00CA01DF"/>
    <w:rsid w:val="00CA127A"/>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D7BCB"/>
    <w:rsid w:val="00CE00A5"/>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0F63"/>
    <w:rsid w:val="00D42F8B"/>
    <w:rsid w:val="00D43600"/>
    <w:rsid w:val="00D460B3"/>
    <w:rsid w:val="00D463CD"/>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B7FDB"/>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370"/>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07BC"/>
    <w:rsid w:val="00E14478"/>
    <w:rsid w:val="00E14F25"/>
    <w:rsid w:val="00E162E1"/>
    <w:rsid w:val="00E21416"/>
    <w:rsid w:val="00E226A8"/>
    <w:rsid w:val="00E22AF7"/>
    <w:rsid w:val="00E249DD"/>
    <w:rsid w:val="00E25C22"/>
    <w:rsid w:val="00E266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5058"/>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4D6C"/>
    <w:rsid w:val="00EE6E94"/>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2B3A"/>
    <w:rsid w:val="00F14C0F"/>
    <w:rsid w:val="00F1740D"/>
    <w:rsid w:val="00F207F8"/>
    <w:rsid w:val="00F21109"/>
    <w:rsid w:val="00F232D0"/>
    <w:rsid w:val="00F25B68"/>
    <w:rsid w:val="00F2695D"/>
    <w:rsid w:val="00F31FC5"/>
    <w:rsid w:val="00F3297D"/>
    <w:rsid w:val="00F334C8"/>
    <w:rsid w:val="00F35E1F"/>
    <w:rsid w:val="00F362E9"/>
    <w:rsid w:val="00F400E7"/>
    <w:rsid w:val="00F41A6D"/>
    <w:rsid w:val="00F41F46"/>
    <w:rsid w:val="00F42BE4"/>
    <w:rsid w:val="00F432E6"/>
    <w:rsid w:val="00F465BC"/>
    <w:rsid w:val="00F5423D"/>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1413"/>
    <w:rsid w:val="00F94F7B"/>
    <w:rsid w:val="00FA07DF"/>
    <w:rsid w:val="00FA19C1"/>
    <w:rsid w:val="00FA2423"/>
    <w:rsid w:val="00FA5956"/>
    <w:rsid w:val="00FA65C3"/>
    <w:rsid w:val="00FA7B50"/>
    <w:rsid w:val="00FB0C32"/>
    <w:rsid w:val="00FB0C3D"/>
    <w:rsid w:val="00FB160E"/>
    <w:rsid w:val="00FB1D79"/>
    <w:rsid w:val="00FB231C"/>
    <w:rsid w:val="00FB249F"/>
    <w:rsid w:val="00FB2894"/>
    <w:rsid w:val="00FB3328"/>
    <w:rsid w:val="00FB4555"/>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3A2911"/>
    <w:rsid w:val="013F3C1F"/>
    <w:rsid w:val="018D2CDE"/>
    <w:rsid w:val="02435EE5"/>
    <w:rsid w:val="028D37FB"/>
    <w:rsid w:val="030D40D0"/>
    <w:rsid w:val="031E7295"/>
    <w:rsid w:val="03343341"/>
    <w:rsid w:val="03AD4A6D"/>
    <w:rsid w:val="04220EB1"/>
    <w:rsid w:val="04371027"/>
    <w:rsid w:val="04A3318B"/>
    <w:rsid w:val="04C64E02"/>
    <w:rsid w:val="0503641B"/>
    <w:rsid w:val="05C2125A"/>
    <w:rsid w:val="05E67615"/>
    <w:rsid w:val="05FA5D1E"/>
    <w:rsid w:val="0605178D"/>
    <w:rsid w:val="06236F09"/>
    <w:rsid w:val="066F4A33"/>
    <w:rsid w:val="06EA2838"/>
    <w:rsid w:val="071A31A4"/>
    <w:rsid w:val="075925E6"/>
    <w:rsid w:val="07BB7068"/>
    <w:rsid w:val="080A3FCD"/>
    <w:rsid w:val="0827239F"/>
    <w:rsid w:val="083D5237"/>
    <w:rsid w:val="084142D3"/>
    <w:rsid w:val="08537854"/>
    <w:rsid w:val="08675B42"/>
    <w:rsid w:val="0A132998"/>
    <w:rsid w:val="0AE07D73"/>
    <w:rsid w:val="0BCF27F9"/>
    <w:rsid w:val="0C81081E"/>
    <w:rsid w:val="0D936180"/>
    <w:rsid w:val="0D97210F"/>
    <w:rsid w:val="10C860A5"/>
    <w:rsid w:val="10DA54EB"/>
    <w:rsid w:val="11105BCB"/>
    <w:rsid w:val="117A559E"/>
    <w:rsid w:val="11D6694D"/>
    <w:rsid w:val="11D72E84"/>
    <w:rsid w:val="11FF3BA3"/>
    <w:rsid w:val="12097EEB"/>
    <w:rsid w:val="12F521C1"/>
    <w:rsid w:val="13062350"/>
    <w:rsid w:val="137551BA"/>
    <w:rsid w:val="13F803B8"/>
    <w:rsid w:val="14672ADF"/>
    <w:rsid w:val="149B346D"/>
    <w:rsid w:val="149D2C0B"/>
    <w:rsid w:val="16251A7B"/>
    <w:rsid w:val="16CA4F75"/>
    <w:rsid w:val="16DB572C"/>
    <w:rsid w:val="17564E9E"/>
    <w:rsid w:val="19154E02"/>
    <w:rsid w:val="19564072"/>
    <w:rsid w:val="19951B5B"/>
    <w:rsid w:val="19F84C38"/>
    <w:rsid w:val="1A202DC3"/>
    <w:rsid w:val="1A5D6431"/>
    <w:rsid w:val="1AAD1ACB"/>
    <w:rsid w:val="1B0C1623"/>
    <w:rsid w:val="1B3D734C"/>
    <w:rsid w:val="1B447FB2"/>
    <w:rsid w:val="1B85705F"/>
    <w:rsid w:val="1BC00537"/>
    <w:rsid w:val="1BD838BE"/>
    <w:rsid w:val="1C433887"/>
    <w:rsid w:val="1C63352B"/>
    <w:rsid w:val="1CB8460F"/>
    <w:rsid w:val="1CC31220"/>
    <w:rsid w:val="1CD1668F"/>
    <w:rsid w:val="1CD24564"/>
    <w:rsid w:val="1CDF509E"/>
    <w:rsid w:val="1D37508A"/>
    <w:rsid w:val="1E26544F"/>
    <w:rsid w:val="1EDF0E4F"/>
    <w:rsid w:val="1EF20C24"/>
    <w:rsid w:val="1F7A021E"/>
    <w:rsid w:val="1FAB1086"/>
    <w:rsid w:val="1FF36C63"/>
    <w:rsid w:val="20794362"/>
    <w:rsid w:val="20A94838"/>
    <w:rsid w:val="20C95856"/>
    <w:rsid w:val="20CD722F"/>
    <w:rsid w:val="21C60C94"/>
    <w:rsid w:val="22083A05"/>
    <w:rsid w:val="22096CA7"/>
    <w:rsid w:val="23350755"/>
    <w:rsid w:val="23414E98"/>
    <w:rsid w:val="234D01CE"/>
    <w:rsid w:val="23557D99"/>
    <w:rsid w:val="237B467C"/>
    <w:rsid w:val="23B61459"/>
    <w:rsid w:val="242F59E8"/>
    <w:rsid w:val="24E446E9"/>
    <w:rsid w:val="24FF4E38"/>
    <w:rsid w:val="25450769"/>
    <w:rsid w:val="257B287A"/>
    <w:rsid w:val="25D9362D"/>
    <w:rsid w:val="26005B04"/>
    <w:rsid w:val="27337794"/>
    <w:rsid w:val="282E5EC3"/>
    <w:rsid w:val="28525986"/>
    <w:rsid w:val="285B60A9"/>
    <w:rsid w:val="28652863"/>
    <w:rsid w:val="286B133B"/>
    <w:rsid w:val="288A5D4C"/>
    <w:rsid w:val="28983C59"/>
    <w:rsid w:val="28DD25E0"/>
    <w:rsid w:val="29973DBD"/>
    <w:rsid w:val="29DC5247"/>
    <w:rsid w:val="2BB22A8A"/>
    <w:rsid w:val="2D6270F2"/>
    <w:rsid w:val="2E4F5666"/>
    <w:rsid w:val="2F421151"/>
    <w:rsid w:val="30543360"/>
    <w:rsid w:val="308D49A4"/>
    <w:rsid w:val="30F636CE"/>
    <w:rsid w:val="31171833"/>
    <w:rsid w:val="31276540"/>
    <w:rsid w:val="31A352EC"/>
    <w:rsid w:val="32AD43B0"/>
    <w:rsid w:val="33000A2E"/>
    <w:rsid w:val="331D4D45"/>
    <w:rsid w:val="34626DAE"/>
    <w:rsid w:val="34AF42A0"/>
    <w:rsid w:val="34F40044"/>
    <w:rsid w:val="350B05E4"/>
    <w:rsid w:val="359B5634"/>
    <w:rsid w:val="35DA7390"/>
    <w:rsid w:val="3681148B"/>
    <w:rsid w:val="36A646A7"/>
    <w:rsid w:val="378A2713"/>
    <w:rsid w:val="37D24CA4"/>
    <w:rsid w:val="389E6177"/>
    <w:rsid w:val="38F17143"/>
    <w:rsid w:val="38F77026"/>
    <w:rsid w:val="39353570"/>
    <w:rsid w:val="39831932"/>
    <w:rsid w:val="3A15021F"/>
    <w:rsid w:val="3AB62979"/>
    <w:rsid w:val="3ACF2DFF"/>
    <w:rsid w:val="3AD46964"/>
    <w:rsid w:val="3B123CC4"/>
    <w:rsid w:val="3B1E2C92"/>
    <w:rsid w:val="3BB4504B"/>
    <w:rsid w:val="3C0B4EF4"/>
    <w:rsid w:val="3CB46C36"/>
    <w:rsid w:val="3CD96C35"/>
    <w:rsid w:val="3DCD0577"/>
    <w:rsid w:val="3EC576AD"/>
    <w:rsid w:val="3ED50494"/>
    <w:rsid w:val="40A94D33"/>
    <w:rsid w:val="40BA7418"/>
    <w:rsid w:val="40C1059D"/>
    <w:rsid w:val="410D3985"/>
    <w:rsid w:val="411C2F72"/>
    <w:rsid w:val="41870684"/>
    <w:rsid w:val="43183E21"/>
    <w:rsid w:val="43265537"/>
    <w:rsid w:val="433656A7"/>
    <w:rsid w:val="4364761E"/>
    <w:rsid w:val="43BA1751"/>
    <w:rsid w:val="43BF4487"/>
    <w:rsid w:val="44604933"/>
    <w:rsid w:val="44714AFB"/>
    <w:rsid w:val="44796AC2"/>
    <w:rsid w:val="453B32A8"/>
    <w:rsid w:val="454E77EE"/>
    <w:rsid w:val="464E73A4"/>
    <w:rsid w:val="4684492B"/>
    <w:rsid w:val="46885010"/>
    <w:rsid w:val="47F61B67"/>
    <w:rsid w:val="488A744B"/>
    <w:rsid w:val="49BF4571"/>
    <w:rsid w:val="4A515382"/>
    <w:rsid w:val="4BB23BBB"/>
    <w:rsid w:val="4BB42B60"/>
    <w:rsid w:val="4C4614BD"/>
    <w:rsid w:val="4CEF26B4"/>
    <w:rsid w:val="4D1B4648"/>
    <w:rsid w:val="4D6F59A6"/>
    <w:rsid w:val="4E9354A6"/>
    <w:rsid w:val="4F217F9B"/>
    <w:rsid w:val="4F505B88"/>
    <w:rsid w:val="4F604D34"/>
    <w:rsid w:val="4F8321E9"/>
    <w:rsid w:val="50443630"/>
    <w:rsid w:val="504C3368"/>
    <w:rsid w:val="51BE3B95"/>
    <w:rsid w:val="51D6626D"/>
    <w:rsid w:val="521E7F95"/>
    <w:rsid w:val="523E4376"/>
    <w:rsid w:val="52400863"/>
    <w:rsid w:val="532606DF"/>
    <w:rsid w:val="538504CA"/>
    <w:rsid w:val="540D40C4"/>
    <w:rsid w:val="545C5D5F"/>
    <w:rsid w:val="54793793"/>
    <w:rsid w:val="54B946F7"/>
    <w:rsid w:val="54EB63CD"/>
    <w:rsid w:val="557E11BB"/>
    <w:rsid w:val="56C647B3"/>
    <w:rsid w:val="56EF5D14"/>
    <w:rsid w:val="572B04AD"/>
    <w:rsid w:val="573B36AB"/>
    <w:rsid w:val="58096E6F"/>
    <w:rsid w:val="58736161"/>
    <w:rsid w:val="59B72D27"/>
    <w:rsid w:val="59C04459"/>
    <w:rsid w:val="5A344C5B"/>
    <w:rsid w:val="5A4910FB"/>
    <w:rsid w:val="5AC2653B"/>
    <w:rsid w:val="5AE747C3"/>
    <w:rsid w:val="5B3E0ACF"/>
    <w:rsid w:val="5B774E71"/>
    <w:rsid w:val="5B86479E"/>
    <w:rsid w:val="5B9E6027"/>
    <w:rsid w:val="5C0E651B"/>
    <w:rsid w:val="5CFF5879"/>
    <w:rsid w:val="5D4930BF"/>
    <w:rsid w:val="5D8A4F8E"/>
    <w:rsid w:val="5E1D09B1"/>
    <w:rsid w:val="5E221465"/>
    <w:rsid w:val="5E43257A"/>
    <w:rsid w:val="5E6C2D25"/>
    <w:rsid w:val="5EE0506F"/>
    <w:rsid w:val="5F63338A"/>
    <w:rsid w:val="5F6A70D2"/>
    <w:rsid w:val="5F9E5A83"/>
    <w:rsid w:val="600A602E"/>
    <w:rsid w:val="603F2C9B"/>
    <w:rsid w:val="60B55130"/>
    <w:rsid w:val="61171764"/>
    <w:rsid w:val="611C403B"/>
    <w:rsid w:val="61F45549"/>
    <w:rsid w:val="621A3574"/>
    <w:rsid w:val="62E01977"/>
    <w:rsid w:val="62E95975"/>
    <w:rsid w:val="62F507BA"/>
    <w:rsid w:val="64643702"/>
    <w:rsid w:val="64B03B59"/>
    <w:rsid w:val="64E06A1A"/>
    <w:rsid w:val="64E351D7"/>
    <w:rsid w:val="654A1320"/>
    <w:rsid w:val="65681D1D"/>
    <w:rsid w:val="65D331FF"/>
    <w:rsid w:val="667666C9"/>
    <w:rsid w:val="668C02C9"/>
    <w:rsid w:val="66F50CAA"/>
    <w:rsid w:val="676A6A91"/>
    <w:rsid w:val="67784575"/>
    <w:rsid w:val="68171E00"/>
    <w:rsid w:val="685215EF"/>
    <w:rsid w:val="68743C35"/>
    <w:rsid w:val="68910E56"/>
    <w:rsid w:val="69C223F9"/>
    <w:rsid w:val="69DD1477"/>
    <w:rsid w:val="6A3833A6"/>
    <w:rsid w:val="6A5A3D1F"/>
    <w:rsid w:val="6A6F5EEB"/>
    <w:rsid w:val="6A720384"/>
    <w:rsid w:val="6AE00BC1"/>
    <w:rsid w:val="6B38463A"/>
    <w:rsid w:val="6B7911F2"/>
    <w:rsid w:val="6B8148DE"/>
    <w:rsid w:val="6C7B529C"/>
    <w:rsid w:val="6CA84F28"/>
    <w:rsid w:val="6CAC6D99"/>
    <w:rsid w:val="6CC3543E"/>
    <w:rsid w:val="6CDC3B2B"/>
    <w:rsid w:val="6D905698"/>
    <w:rsid w:val="6E84034D"/>
    <w:rsid w:val="6F1E0D5A"/>
    <w:rsid w:val="6F2E04E4"/>
    <w:rsid w:val="6F836B7E"/>
    <w:rsid w:val="6FDC7143"/>
    <w:rsid w:val="6FE45653"/>
    <w:rsid w:val="70806DD8"/>
    <w:rsid w:val="71093C04"/>
    <w:rsid w:val="719D793C"/>
    <w:rsid w:val="71BC5F4C"/>
    <w:rsid w:val="71D42690"/>
    <w:rsid w:val="71FE35D0"/>
    <w:rsid w:val="729E7512"/>
    <w:rsid w:val="73710DE8"/>
    <w:rsid w:val="74183D26"/>
    <w:rsid w:val="742A1457"/>
    <w:rsid w:val="743069D9"/>
    <w:rsid w:val="75CB0ECB"/>
    <w:rsid w:val="75E7418D"/>
    <w:rsid w:val="762A7C7A"/>
    <w:rsid w:val="76645525"/>
    <w:rsid w:val="77EB1A7F"/>
    <w:rsid w:val="780A14FB"/>
    <w:rsid w:val="78413F3B"/>
    <w:rsid w:val="7875223D"/>
    <w:rsid w:val="78867931"/>
    <w:rsid w:val="793A7663"/>
    <w:rsid w:val="79B07D84"/>
    <w:rsid w:val="79C54F96"/>
    <w:rsid w:val="7A1816D7"/>
    <w:rsid w:val="7A2D1A6F"/>
    <w:rsid w:val="7A9D41E2"/>
    <w:rsid w:val="7AB279F2"/>
    <w:rsid w:val="7B3159C3"/>
    <w:rsid w:val="7B7873A1"/>
    <w:rsid w:val="7C5D3006"/>
    <w:rsid w:val="7C993F7F"/>
    <w:rsid w:val="7CBE27BE"/>
    <w:rsid w:val="7CE27CFF"/>
    <w:rsid w:val="7D612F55"/>
    <w:rsid w:val="7D9F149E"/>
    <w:rsid w:val="7E14633A"/>
    <w:rsid w:val="7F0167D8"/>
    <w:rsid w:val="7F857CDD"/>
    <w:rsid w:val="7F8F3199"/>
    <w:rsid w:val="7FD4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D4907"/>
  <w15:chartTrackingRefBased/>
  <w15:docId w15:val="{4C983820-FE2D-4E84-9890-2CBD6645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rPr>
  </w:style>
  <w:style w:type="paragraph" w:styleId="a5">
    <w:name w:val="Body Text Indent"/>
    <w:basedOn w:val="a"/>
    <w:pPr>
      <w:ind w:firstLine="576"/>
    </w:pPr>
    <w:rPr>
      <w:rFonts w:ascii="仿宋_GB2312" w:eastAsia="仿宋_GB2312"/>
      <w:sz w:val="28"/>
      <w:szCs w:val="24"/>
    </w:rPr>
  </w:style>
  <w:style w:type="paragraph" w:styleId="a6">
    <w:name w:val="Plain Text"/>
    <w:basedOn w:val="a"/>
    <w:link w:val="a7"/>
    <w:uiPriority w:val="99"/>
    <w:rPr>
      <w:rFonts w:ascii="宋体" w:hAnsi="Courier New"/>
    </w:rPr>
  </w:style>
  <w:style w:type="character" w:customStyle="1" w:styleId="a7">
    <w:name w:val="纯文本 字符"/>
    <w:link w:val="a6"/>
    <w:uiPriority w:val="99"/>
    <w:rPr>
      <w:rFonts w:ascii="宋体" w:hAnsi="Courier New"/>
      <w:kern w:val="2"/>
      <w:sz w:val="21"/>
    </w:rPr>
  </w:style>
  <w:style w:type="paragraph" w:styleId="a8">
    <w:name w:val="Date"/>
    <w:basedOn w:val="a"/>
    <w:next w:val="a"/>
    <w:pPr>
      <w:adjustRightInd w:val="0"/>
      <w:spacing w:line="312" w:lineRule="atLeast"/>
      <w:jc w:val="right"/>
      <w:textAlignment w:val="baseline"/>
    </w:pPr>
    <w:rPr>
      <w:kern w:val="0"/>
    </w:rPr>
  </w:style>
  <w:style w:type="paragraph" w:styleId="a9">
    <w:name w:val="Balloon Text"/>
    <w:basedOn w:val="a"/>
    <w:semiHidden/>
    <w:rPr>
      <w:sz w:val="18"/>
      <w:szCs w:val="18"/>
    </w:rPr>
  </w:style>
  <w:style w:type="paragraph" w:styleId="aa">
    <w:name w:val="footer"/>
    <w:basedOn w:val="a"/>
    <w:link w:val="ab"/>
    <w:pPr>
      <w:tabs>
        <w:tab w:val="center" w:pos="4153"/>
        <w:tab w:val="right" w:pos="8306"/>
      </w:tabs>
      <w:snapToGrid w:val="0"/>
      <w:jc w:val="left"/>
    </w:pPr>
    <w:rPr>
      <w:sz w:val="18"/>
      <w:szCs w:val="18"/>
    </w:rPr>
  </w:style>
  <w:style w:type="character" w:customStyle="1" w:styleId="ab">
    <w:name w:val="页脚 字符"/>
    <w:link w:val="aa"/>
    <w:rPr>
      <w:kern w:val="2"/>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rPr>
      <w:b/>
      <w:bCs/>
    </w:rPr>
  </w:style>
  <w:style w:type="character" w:customStyle="1" w:styleId="af0">
    <w:name w:val="批注主题 字符"/>
    <w:link w:val="af"/>
    <w:rPr>
      <w:b/>
      <w:bCs/>
      <w:kern w:val="2"/>
      <w:sz w:val="21"/>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Classic 1"/>
    <w:basedOn w:val="a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af2">
    <w:name w:val="Hyperlink"/>
    <w:rPr>
      <w:color w:val="0000FF"/>
      <w:u w:val="single"/>
    </w:rPr>
  </w:style>
  <w:style w:type="character" w:styleId="af3">
    <w:name w:val="annotation reference"/>
    <w:rPr>
      <w:sz w:val="21"/>
      <w:szCs w:val="21"/>
    </w:rPr>
  </w:style>
  <w:style w:type="paragraph" w:customStyle="1" w:styleId="CM3">
    <w:name w:val="CM3"/>
    <w:basedOn w:val="a"/>
    <w:next w:val="a"/>
    <w:pPr>
      <w:autoSpaceDE w:val="0"/>
      <w:autoSpaceDN w:val="0"/>
      <w:adjustRightInd w:val="0"/>
      <w:spacing w:after="468"/>
      <w:jc w:val="left"/>
    </w:pPr>
    <w:rPr>
      <w:rFonts w:ascii="宋体"/>
      <w:kern w:val="0"/>
      <w:sz w:val="24"/>
      <w:szCs w:val="24"/>
    </w:rPr>
  </w:style>
  <w:style w:type="paragraph" w:customStyle="1" w:styleId="CharCharCharCharCharCharCharCharChar">
    <w:name w:val=" Char Char Char Char Char Char Char Char Char"/>
    <w:basedOn w:val="a"/>
    <w:pPr>
      <w:numPr>
        <w:numId w:val="1"/>
      </w:numPr>
    </w:pPr>
    <w:rPr>
      <w:sz w:val="24"/>
      <w:szCs w:val="24"/>
    </w:rPr>
  </w:style>
  <w:style w:type="paragraph" w:customStyle="1" w:styleId="CM2">
    <w:name w:val="CM2"/>
    <w:basedOn w:val="a"/>
    <w:next w:val="a"/>
    <w:pPr>
      <w:autoSpaceDE w:val="0"/>
      <w:autoSpaceDN w:val="0"/>
      <w:adjustRightInd w:val="0"/>
      <w:spacing w:line="511" w:lineRule="atLeast"/>
      <w:jc w:val="left"/>
    </w:pPr>
    <w:rPr>
      <w:rFonts w:ascii="宋体"/>
      <w:kern w:val="0"/>
      <w:sz w:val="24"/>
      <w:szCs w:val="24"/>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fontstyle01">
    <w:name w:val="fontstyle01"/>
    <w:rPr>
      <w:rFonts w:ascii="宋体" w:eastAsia="宋体" w:hAnsi="宋体" w:hint="eastAsia"/>
      <w:b w:val="0"/>
      <w:bCs w:val="0"/>
      <w:i w:val="0"/>
      <w:iCs w:val="0"/>
      <w:color w:val="000000"/>
      <w:sz w:val="24"/>
      <w:szCs w:val="24"/>
    </w:rPr>
  </w:style>
  <w:style w:type="paragraph" w:customStyle="1" w:styleId="CM11">
    <w:name w:val="CM11"/>
    <w:basedOn w:val="a"/>
    <w:next w:val="a"/>
    <w:pPr>
      <w:autoSpaceDE w:val="0"/>
      <w:autoSpaceDN w:val="0"/>
      <w:adjustRightInd w:val="0"/>
      <w:spacing w:line="626" w:lineRule="atLeast"/>
      <w:jc w:val="left"/>
    </w:pPr>
    <w:rPr>
      <w:rFonts w:ascii="仿宋_GB2312" w:eastAsia="仿宋_GB2312"/>
      <w:kern w:val="0"/>
      <w:sz w:val="24"/>
      <w:szCs w:val="24"/>
    </w:rPr>
  </w:style>
  <w:style w:type="paragraph" w:customStyle="1" w:styleId="CM10">
    <w:name w:val="CM10"/>
    <w:basedOn w:val="Default"/>
    <w:next w:val="Default"/>
    <w:pPr>
      <w:spacing w:after="723"/>
    </w:pPr>
    <w:rPr>
      <w:rFonts w:ascii="黑体" w:eastAsia="黑体" w:hAnsi="Times New Roman" w:cs="Times New Roman"/>
      <w:color w:val="auto"/>
    </w:rPr>
  </w:style>
  <w:style w:type="paragraph" w:styleId="af4">
    <w:name w:val="List Paragraph"/>
    <w:basedOn w:val="a"/>
    <w:uiPriority w:val="34"/>
    <w:qFormat/>
    <w:pPr>
      <w:ind w:firstLineChars="200" w:firstLine="420"/>
    </w:pPr>
  </w:style>
  <w:style w:type="paragraph" w:styleId="af5">
    <w:name w:val="Revision"/>
    <w:uiPriority w:val="99"/>
    <w:unhideWhenUsed/>
    <w:rPr>
      <w:kern w:val="2"/>
      <w:sz w:val="21"/>
    </w:rPr>
  </w:style>
  <w:style w:type="paragraph" w:customStyle="1" w:styleId="005">
    <w:name w:val="005正文"/>
    <w:link w:val="005Char"/>
    <w:qFormat/>
    <w:pPr>
      <w:widowControl w:val="0"/>
      <w:spacing w:beforeLines="50" w:before="50" w:afterLines="50" w:after="50" w:line="360" w:lineRule="auto"/>
      <w:ind w:firstLineChars="200" w:firstLine="200"/>
      <w:jc w:val="both"/>
    </w:pPr>
    <w:rPr>
      <w:kern w:val="2"/>
      <w:sz w:val="24"/>
      <w:szCs w:val="22"/>
    </w:rPr>
  </w:style>
  <w:style w:type="character" w:customStyle="1" w:styleId="005Char">
    <w:name w:val="005正文 Char"/>
    <w:link w:val="005"/>
    <w:qFormat/>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3248</Words>
  <Characters>18518</Characters>
  <Application>Microsoft Office Word</Application>
  <DocSecurity>0</DocSecurity>
  <Lines>154</Lines>
  <Paragraphs>43</Paragraphs>
  <ScaleCrop>false</ScaleCrop>
  <Company>Microsoft</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dc:creator>
  <cp:keywords/>
  <cp:lastModifiedBy>mouhaitao 123</cp:lastModifiedBy>
  <cp:revision>2</cp:revision>
  <cp:lastPrinted>2017-05-27T01:49:00Z</cp:lastPrinted>
  <dcterms:created xsi:type="dcterms:W3CDTF">2023-08-25T10:14:00Z</dcterms:created>
  <dcterms:modified xsi:type="dcterms:W3CDTF">2023-08-25T10:14:00Z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