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rPr>
          <w:rFonts w:ascii="Times New Roman" w:hAnsi="Times New Roman" w:eastAsia="宋体" w:cs="Times New Roman"/>
          <w:sz w:val="28"/>
          <w:szCs w:val="28"/>
        </w:rPr>
      </w:pPr>
      <w:bookmarkStart w:id="0" w:name="fzqr1495544645850"/>
      <w:bookmarkEnd w:id="0"/>
      <w:r>
        <w:rPr>
          <w:rFonts w:ascii="Times New Roman" w:hAnsi="Times New Roman" w:eastAsia="宋体" w:cs="Times New Roman"/>
          <w:sz w:val="28"/>
          <w:szCs w:val="28"/>
        </w:rPr>
        <w:t xml:space="preserve">证券代码：000881                                            证券简称：中广核技 </w:t>
      </w:r>
    </w:p>
    <w:p>
      <w:pPr>
        <w:spacing w:line="360" w:lineRule="auto"/>
        <w:jc w:val="center"/>
        <w:rPr>
          <w:rFonts w:ascii="Times New Roman" w:hAnsi="Times New Roman" w:eastAsia="宋体" w:cs="Times New Roman"/>
          <w:b/>
          <w:sz w:val="32"/>
          <w:szCs w:val="32"/>
        </w:rPr>
      </w:pPr>
      <w:bookmarkStart w:id="1" w:name="bgsn1495544645850"/>
      <w:bookmarkEnd w:id="1"/>
      <w:r>
        <w:rPr>
          <w:rFonts w:ascii="Times New Roman" w:hAnsi="Times New Roman" w:eastAsia="宋体" w:cs="Times New Roman"/>
          <w:b/>
          <w:sz w:val="32"/>
          <w:szCs w:val="32"/>
        </w:rPr>
        <w:t>中广核核技术发展股份有限公司投资者关系活动记录表</w:t>
      </w:r>
    </w:p>
    <w:p>
      <w:pPr>
        <w:wordWrap w:val="0"/>
        <w:spacing w:line="360" w:lineRule="auto"/>
        <w:jc w:val="right"/>
        <w:rPr>
          <w:rFonts w:ascii="Times New Roman" w:hAnsi="Times New Roman" w:eastAsia="宋体" w:cs="Times New Roman"/>
          <w:b/>
          <w:sz w:val="32"/>
          <w:szCs w:val="32"/>
        </w:rPr>
      </w:pPr>
      <w:r>
        <w:rPr>
          <w:rFonts w:ascii="Times New Roman" w:hAnsi="Times New Roman" w:eastAsia="宋体" w:cs="Times New Roman"/>
          <w:b/>
          <w:sz w:val="32"/>
          <w:szCs w:val="32"/>
        </w:rPr>
        <w:t>编号：202</w:t>
      </w:r>
      <w:r>
        <w:rPr>
          <w:rFonts w:hint="eastAsia" w:ascii="Times New Roman" w:hAnsi="Times New Roman" w:eastAsia="宋体" w:cs="Times New Roman"/>
          <w:b/>
          <w:sz w:val="32"/>
          <w:szCs w:val="32"/>
        </w:rPr>
        <w:t>4</w:t>
      </w:r>
      <w:r>
        <w:rPr>
          <w:rFonts w:ascii="Times New Roman" w:hAnsi="Times New Roman" w:eastAsia="宋体" w:cs="Times New Roman"/>
          <w:b/>
          <w:sz w:val="32"/>
          <w:szCs w:val="32"/>
        </w:rPr>
        <w:t>-00</w:t>
      </w:r>
      <w:r>
        <w:rPr>
          <w:rFonts w:hint="eastAsia" w:ascii="Times New Roman" w:hAnsi="Times New Roman" w:eastAsia="宋体" w:cs="Times New Roman"/>
          <w:b/>
          <w:sz w:val="32"/>
          <w:szCs w:val="32"/>
        </w:rPr>
        <w:t>2</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1" w:type="dxa"/>
            <w:vAlign w:val="center"/>
          </w:tcPr>
          <w:p>
            <w:pPr>
              <w:spacing w:line="360" w:lineRule="auto"/>
              <w:jc w:val="both"/>
              <w:rPr>
                <w:rFonts w:ascii="Times New Roman" w:hAnsi="Times New Roman" w:eastAsia="宋体" w:cs="Times New Roman"/>
                <w:b/>
                <w:bCs/>
                <w:sz w:val="24"/>
                <w:szCs w:val="24"/>
              </w:rPr>
            </w:pPr>
            <w:bookmarkStart w:id="2" w:name="pbua1495544643273"/>
            <w:bookmarkEnd w:id="2"/>
            <w:r>
              <w:rPr>
                <w:rFonts w:ascii="Times New Roman" w:hAnsi="Times New Roman" w:eastAsia="宋体" w:cs="Times New Roman"/>
                <w:b/>
                <w:bCs/>
                <w:sz w:val="24"/>
                <w:szCs w:val="24"/>
              </w:rPr>
              <w:t>投资者关系活动类别</w:t>
            </w:r>
          </w:p>
        </w:tc>
        <w:tc>
          <w:tcPr>
            <w:tcW w:w="7368" w:type="dxa"/>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sym w:font="Wingdings 2" w:char="00A3"/>
            </w:r>
            <w:r>
              <w:rPr>
                <w:rFonts w:ascii="Times New Roman" w:hAnsi="Times New Roman" w:eastAsia="宋体" w:cs="Times New Roman"/>
                <w:bCs/>
                <w:sz w:val="24"/>
                <w:szCs w:val="24"/>
              </w:rPr>
              <w:t xml:space="preserve">特定对象调研  </w:t>
            </w:r>
            <w:r>
              <w:rPr>
                <w:rFonts w:ascii="Times New Roman" w:hAnsi="Times New Roman" w:eastAsia="宋体" w:cs="Times New Roman"/>
                <w:bCs/>
                <w:sz w:val="24"/>
                <w:szCs w:val="24"/>
              </w:rPr>
              <w:sym w:font="Wingdings 2" w:char="00A3"/>
            </w:r>
            <w:r>
              <w:rPr>
                <w:rFonts w:ascii="Times New Roman" w:hAnsi="Times New Roman" w:eastAsia="宋体" w:cs="Times New Roman"/>
                <w:bCs/>
                <w:sz w:val="24"/>
                <w:szCs w:val="24"/>
              </w:rPr>
              <w:t>分析师会议</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sym w:font="Wingdings 2" w:char="00A3"/>
            </w:r>
            <w:r>
              <w:rPr>
                <w:rFonts w:ascii="Times New Roman" w:hAnsi="Times New Roman" w:eastAsia="宋体" w:cs="Times New Roman"/>
                <w:bCs/>
                <w:sz w:val="24"/>
                <w:szCs w:val="24"/>
              </w:rPr>
              <w:t xml:space="preserve">媒体采访          </w:t>
            </w:r>
            <w:r>
              <w:rPr>
                <w:rFonts w:ascii="Times New Roman" w:hAnsi="Times New Roman" w:eastAsia="宋体" w:cs="Times New Roman"/>
                <w:bCs/>
                <w:sz w:val="24"/>
                <w:szCs w:val="24"/>
              </w:rPr>
              <w:sym w:font="Wingdings 2" w:char="00A3"/>
            </w:r>
            <w:r>
              <w:rPr>
                <w:rFonts w:ascii="Times New Roman" w:hAnsi="Times New Roman" w:eastAsia="宋体" w:cs="Times New Roman"/>
                <w:bCs/>
                <w:sz w:val="24"/>
                <w:szCs w:val="24"/>
              </w:rPr>
              <w:t>业绩说明会</w:t>
            </w:r>
          </w:p>
          <w:p>
            <w:pPr>
              <w:spacing w:line="360" w:lineRule="auto"/>
              <w:rPr>
                <w:rFonts w:hint="eastAsia" w:ascii="Times New Roman" w:hAnsi="Times New Roman" w:eastAsia="宋体" w:cs="Times New Roman"/>
                <w:bCs/>
                <w:sz w:val="24"/>
                <w:szCs w:val="24"/>
                <w:lang w:val="en-US" w:eastAsia="zh-CN"/>
              </w:rPr>
            </w:pPr>
            <w:r>
              <w:rPr>
                <w:rFonts w:ascii="Times New Roman" w:hAnsi="Times New Roman" w:eastAsia="宋体" w:cs="Times New Roman"/>
                <w:bCs/>
                <w:sz w:val="24"/>
                <w:szCs w:val="24"/>
              </w:rPr>
              <w:sym w:font="Wingdings 2" w:char="00A3"/>
            </w:r>
            <w:r>
              <w:rPr>
                <w:rFonts w:ascii="Times New Roman" w:hAnsi="Times New Roman" w:eastAsia="宋体" w:cs="Times New Roman"/>
                <w:bCs/>
                <w:sz w:val="24"/>
                <w:szCs w:val="24"/>
              </w:rPr>
              <w:t xml:space="preserve">新闻发布会      </w:t>
            </w:r>
            <w:r>
              <w:rPr>
                <w:rFonts w:ascii="Times New Roman" w:hAnsi="Times New Roman" w:eastAsia="宋体" w:cs="Times New Roman"/>
                <w:bCs/>
                <w:sz w:val="24"/>
                <w:szCs w:val="24"/>
              </w:rPr>
              <w:sym w:font="Wingdings 2" w:char="0052"/>
            </w:r>
            <w:r>
              <w:rPr>
                <w:rFonts w:ascii="Times New Roman" w:hAnsi="Times New Roman" w:eastAsia="宋体" w:cs="Times New Roman"/>
                <w:bCs/>
                <w:sz w:val="24"/>
                <w:szCs w:val="24"/>
              </w:rPr>
              <w:t>路演活动</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i w:val="0"/>
                <w:iCs w:val="0"/>
                <w:caps w:val="0"/>
                <w:color w:val="000000"/>
                <w:spacing w:val="0"/>
                <w:sz w:val="24"/>
                <w:szCs w:val="24"/>
                <w:shd w:val="clear"/>
                <w:lang w:val="en-US" w:eastAsia="zh-CN"/>
              </w:rPr>
              <w:t>实际控制人</w:t>
            </w:r>
            <w:r>
              <w:rPr>
                <w:rFonts w:ascii="Times New Roman" w:hAnsi="Times New Roman" w:eastAsia="宋体" w:cs="Times New Roman"/>
                <w:bCs/>
                <w:i w:val="0"/>
                <w:iCs w:val="0"/>
                <w:caps w:val="0"/>
                <w:color w:val="000000"/>
                <w:spacing w:val="0"/>
                <w:sz w:val="24"/>
                <w:szCs w:val="24"/>
                <w:shd w:val="clear"/>
              </w:rPr>
              <w:t>旗下上市公司</w:t>
            </w:r>
            <w:r>
              <w:rPr>
                <w:rFonts w:hint="eastAsia" w:ascii="Times New Roman" w:hAnsi="Times New Roman" w:eastAsia="宋体" w:cs="Times New Roman"/>
                <w:bCs/>
                <w:i w:val="0"/>
                <w:iCs w:val="0"/>
                <w:caps w:val="0"/>
                <w:color w:val="000000"/>
                <w:spacing w:val="0"/>
                <w:sz w:val="24"/>
                <w:szCs w:val="24"/>
                <w:shd w:val="clear"/>
                <w:lang w:val="en-US" w:eastAsia="zh-CN"/>
              </w:rPr>
              <w:t>集体</w:t>
            </w:r>
            <w:r>
              <w:rPr>
                <w:rFonts w:ascii="Times New Roman" w:hAnsi="Times New Roman" w:eastAsia="宋体" w:cs="Times New Roman"/>
                <w:bCs/>
                <w:i w:val="0"/>
                <w:iCs w:val="0"/>
                <w:caps w:val="0"/>
                <w:color w:val="000000"/>
                <w:spacing w:val="0"/>
                <w:sz w:val="24"/>
                <w:szCs w:val="24"/>
                <w:shd w:val="clear"/>
              </w:rPr>
              <w:t>路演</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Cs/>
                <w:sz w:val="24"/>
                <w:szCs w:val="24"/>
              </w:rPr>
              <w:sym w:font="Wingdings 2" w:char="00A3"/>
            </w:r>
            <w:r>
              <w:rPr>
                <w:rFonts w:ascii="Times New Roman" w:hAnsi="Times New Roman" w:eastAsia="宋体" w:cs="Times New Roman"/>
                <w:bCs/>
                <w:sz w:val="24"/>
                <w:szCs w:val="24"/>
              </w:rPr>
              <w:t xml:space="preserve">现场参观          </w:t>
            </w:r>
            <w:r>
              <w:rPr>
                <w:rFonts w:ascii="Times New Roman" w:hAnsi="Times New Roman" w:eastAsia="宋体" w:cs="Times New Roman"/>
                <w:bCs/>
                <w:sz w:val="24"/>
                <w:szCs w:val="24"/>
              </w:rPr>
              <w:sym w:font="Wingdings 2" w:char="00A3"/>
            </w:r>
            <w:r>
              <w:rPr>
                <w:rFonts w:ascii="Times New Roman" w:hAnsi="Times New Roman" w:eastAsia="宋体" w:cs="Times New Roman"/>
                <w:bC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671" w:type="dxa"/>
            <w:vAlign w:val="center"/>
          </w:tcPr>
          <w:p>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外部参与人员</w:t>
            </w:r>
          </w:p>
        </w:tc>
        <w:tc>
          <w:tcPr>
            <w:tcW w:w="7368" w:type="dxa"/>
            <w:vAlign w:val="center"/>
          </w:tcPr>
          <w:p>
            <w:pPr>
              <w:spacing w:line="360" w:lineRule="auto"/>
              <w:jc w:val="both"/>
              <w:rPr>
                <w:rFonts w:ascii="Times New Roman" w:hAnsi="Times New Roman" w:eastAsia="宋体" w:cs="Times New Roman"/>
                <w:color w:val="auto"/>
                <w:kern w:val="2"/>
                <w:sz w:val="24"/>
                <w:szCs w:val="24"/>
              </w:rPr>
            </w:pPr>
            <w:r>
              <w:rPr>
                <w:rFonts w:ascii="Times New Roman" w:hAnsi="Times New Roman" w:eastAsia="宋体" w:cs="Times New Roman"/>
                <w:i w:val="0"/>
                <w:iCs w:val="0"/>
                <w:caps w:val="0"/>
                <w:color w:val="auto"/>
                <w:spacing w:val="0"/>
                <w:kern w:val="2"/>
                <w:sz w:val="24"/>
                <w:szCs w:val="24"/>
                <w:shd w:val="clear"/>
              </w:rPr>
              <w:t>来自</w:t>
            </w:r>
            <w:r>
              <w:rPr>
                <w:rFonts w:hint="default" w:ascii="Times New Roman" w:hAnsi="Times New Roman" w:eastAsia="宋体" w:cs="Times New Roman"/>
                <w:i w:val="0"/>
                <w:iCs w:val="0"/>
                <w:caps w:val="0"/>
                <w:color w:val="auto"/>
                <w:spacing w:val="0"/>
                <w:kern w:val="2"/>
                <w:sz w:val="24"/>
                <w:szCs w:val="24"/>
                <w:bdr w:val="none" w:sz="4" w:space="0"/>
                <w:shd w:val="clear"/>
              </w:rPr>
              <w:t>中信证券</w:t>
            </w:r>
            <w:r>
              <w:rPr>
                <w:rFonts w:hint="default" w:ascii="Times New Roman" w:hAnsi="Times New Roman" w:eastAsia="宋体" w:cs="Times New Roman"/>
                <w:i w:val="0"/>
                <w:iCs w:val="0"/>
                <w:caps w:val="0"/>
                <w:color w:val="auto"/>
                <w:spacing w:val="0"/>
                <w:kern w:val="2"/>
                <w:sz w:val="24"/>
                <w:szCs w:val="24"/>
                <w:shd w:val="clear"/>
              </w:rPr>
              <w:t>、</w:t>
            </w:r>
            <w:r>
              <w:rPr>
                <w:rFonts w:hint="eastAsia" w:ascii="Times New Roman" w:hAnsi="Times New Roman" w:eastAsia="宋体" w:cs="Times New Roman"/>
                <w:i w:val="0"/>
                <w:iCs w:val="0"/>
                <w:caps w:val="0"/>
                <w:color w:val="auto"/>
                <w:spacing w:val="0"/>
                <w:kern w:val="2"/>
                <w:sz w:val="24"/>
                <w:szCs w:val="24"/>
                <w:shd w:val="clear"/>
                <w:lang w:val="en-US" w:eastAsia="zh-CN"/>
              </w:rPr>
              <w:t>国元证券、方正证券、浙商证券、</w:t>
            </w:r>
            <w:r>
              <w:rPr>
                <w:rFonts w:hint="default" w:ascii="Times New Roman" w:hAnsi="Times New Roman" w:eastAsia="宋体" w:cs="Times New Roman"/>
                <w:i w:val="0"/>
                <w:iCs w:val="0"/>
                <w:caps w:val="0"/>
                <w:color w:val="auto"/>
                <w:spacing w:val="0"/>
                <w:kern w:val="2"/>
                <w:sz w:val="24"/>
                <w:szCs w:val="24"/>
                <w:bdr w:val="none" w:sz="4" w:space="0"/>
                <w:shd w:val="clear"/>
              </w:rPr>
              <w:t>华泰证券</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天风证券</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招商证券</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海通证券</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摩根士丹利</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中金公司</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中银国际</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汇丰银行</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摩根大通</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太平资管</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鹏华基金</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安联资管</w:t>
            </w:r>
            <w:r>
              <w:rPr>
                <w:rFonts w:hint="default" w:ascii="Times New Roman" w:hAnsi="Times New Roman" w:eastAsia="宋体" w:cs="Times New Roman"/>
                <w:i w:val="0"/>
                <w:iCs w:val="0"/>
                <w:caps w:val="0"/>
                <w:color w:val="auto"/>
                <w:spacing w:val="0"/>
                <w:kern w:val="2"/>
                <w:sz w:val="24"/>
                <w:szCs w:val="24"/>
                <w:shd w:val="clear"/>
              </w:rPr>
              <w:t>、</w:t>
            </w:r>
            <w:r>
              <w:rPr>
                <w:rFonts w:hint="default" w:ascii="Times New Roman" w:hAnsi="Times New Roman" w:eastAsia="宋体" w:cs="Times New Roman"/>
                <w:i w:val="0"/>
                <w:iCs w:val="0"/>
                <w:caps w:val="0"/>
                <w:color w:val="auto"/>
                <w:spacing w:val="0"/>
                <w:kern w:val="2"/>
                <w:sz w:val="24"/>
                <w:szCs w:val="24"/>
                <w:bdr w:val="none" w:sz="4" w:space="0"/>
                <w:shd w:val="clear"/>
              </w:rPr>
              <w:t>淡水泉</w:t>
            </w:r>
            <w:r>
              <w:rPr>
                <w:rFonts w:hint="default" w:ascii="Times New Roman" w:hAnsi="Times New Roman" w:eastAsia="宋体" w:cs="Times New Roman"/>
                <w:i w:val="0"/>
                <w:iCs w:val="0"/>
                <w:caps w:val="0"/>
                <w:color w:val="auto"/>
                <w:spacing w:val="0"/>
                <w:kern w:val="2"/>
                <w:sz w:val="24"/>
                <w:szCs w:val="24"/>
                <w:shd w:val="clear"/>
              </w:rPr>
              <w:t>等约150家机构共计约200位分析师</w:t>
            </w:r>
            <w:r>
              <w:rPr>
                <w:rFonts w:hint="eastAsia" w:ascii="Times New Roman" w:hAnsi="Times New Roman" w:eastAsia="宋体" w:cs="Times New Roman"/>
                <w:i w:val="0"/>
                <w:iCs w:val="0"/>
                <w:caps w:val="0"/>
                <w:color w:val="auto"/>
                <w:spacing w:val="0"/>
                <w:kern w:val="2"/>
                <w:sz w:val="24"/>
                <w:szCs w:val="24"/>
                <w:shd w:val="clear"/>
                <w:lang w:eastAsia="zh-CN"/>
              </w:rPr>
              <w:t>/</w:t>
            </w:r>
            <w:r>
              <w:rPr>
                <w:rFonts w:hint="default" w:ascii="Times New Roman" w:hAnsi="Times New Roman" w:eastAsia="宋体" w:cs="Times New Roman"/>
                <w:i w:val="0"/>
                <w:iCs w:val="0"/>
                <w:caps w:val="0"/>
                <w:color w:val="auto"/>
                <w:spacing w:val="0"/>
                <w:kern w:val="2"/>
                <w:sz w:val="24"/>
                <w:szCs w:val="24"/>
                <w:shd w:val="clear"/>
              </w:rPr>
              <w:t>投资者通过线上、线下同步参会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上市公司参与人员</w:t>
            </w:r>
          </w:p>
        </w:tc>
        <w:tc>
          <w:tcPr>
            <w:tcW w:w="7368" w:type="dxa"/>
            <w:vAlign w:val="center"/>
          </w:tcPr>
          <w:p>
            <w:pPr>
              <w:spacing w:line="360" w:lineRule="auto"/>
              <w:jc w:val="both"/>
              <w:rPr>
                <w:rFonts w:ascii="Times New Roman" w:hAnsi="Times New Roman" w:eastAsia="宋体" w:cs="Times New Roman"/>
                <w:color w:val="auto"/>
                <w:kern w:val="2"/>
                <w:sz w:val="24"/>
                <w:szCs w:val="24"/>
              </w:rPr>
            </w:pPr>
            <w:r>
              <w:rPr>
                <w:rFonts w:ascii="Times New Roman" w:hAnsi="Times New Roman" w:eastAsia="宋体" w:cs="Times New Roman"/>
                <w:color w:val="auto"/>
                <w:kern w:val="2"/>
                <w:sz w:val="24"/>
                <w:szCs w:val="24"/>
              </w:rPr>
              <w:t>总会计师杨凌浩</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1" w:type="dxa"/>
            <w:vAlign w:val="center"/>
          </w:tcPr>
          <w:p>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活动时间</w:t>
            </w:r>
          </w:p>
        </w:tc>
        <w:tc>
          <w:tcPr>
            <w:tcW w:w="7368" w:type="dxa"/>
            <w:vAlign w:val="center"/>
          </w:tcPr>
          <w:p>
            <w:pPr>
              <w:spacing w:line="360" w:lineRule="auto"/>
              <w:jc w:val="both"/>
              <w:rPr>
                <w:rFonts w:ascii="Times New Roman" w:hAnsi="Times New Roman" w:eastAsia="宋体" w:cs="Times New Roman"/>
                <w:color w:val="auto"/>
                <w:kern w:val="2"/>
                <w:sz w:val="24"/>
                <w:szCs w:val="24"/>
              </w:rPr>
            </w:pPr>
            <w:r>
              <w:rPr>
                <w:rFonts w:ascii="Times New Roman" w:hAnsi="Times New Roman" w:eastAsia="宋体" w:cs="Times New Roman"/>
                <w:color w:val="auto"/>
                <w:kern w:val="2"/>
                <w:sz w:val="24"/>
                <w:szCs w:val="24"/>
              </w:rPr>
              <w:t>2024年7月11日</w:t>
            </w:r>
            <w:r>
              <w:rPr>
                <w:rFonts w:hint="eastAsia" w:ascii="Times New Roman" w:hAnsi="Times New Roman" w:eastAsia="宋体" w:cs="Times New Roman"/>
                <w:color w:val="auto"/>
                <w:kern w:val="2"/>
                <w:sz w:val="24"/>
                <w:szCs w:val="24"/>
              </w:rPr>
              <w:t>9:00-1</w:t>
            </w:r>
            <w:r>
              <w:rPr>
                <w:rFonts w:hint="eastAsia" w:ascii="Times New Roman" w:hAnsi="Times New Roman" w:eastAsia="宋体" w:cs="Times New Roman"/>
                <w:color w:val="auto"/>
                <w:kern w:val="2"/>
                <w:sz w:val="24"/>
                <w:szCs w:val="24"/>
                <w:lang w:val="en-US" w:eastAsia="zh-CN"/>
              </w:rPr>
              <w:t>2</w:t>
            </w:r>
            <w:r>
              <w:rPr>
                <w:rFonts w:hint="eastAsia" w:ascii="Times New Roman" w:hAnsi="Times New Roman" w:eastAsia="宋体" w:cs="Times New Roman"/>
                <w:color w:val="auto"/>
                <w:kern w:val="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71" w:type="dxa"/>
            <w:vAlign w:val="center"/>
          </w:tcPr>
          <w:p>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活动地点</w:t>
            </w:r>
          </w:p>
        </w:tc>
        <w:tc>
          <w:tcPr>
            <w:tcW w:w="7368" w:type="dxa"/>
            <w:vAlign w:val="center"/>
          </w:tcPr>
          <w:p>
            <w:pPr>
              <w:spacing w:line="360" w:lineRule="auto"/>
              <w:jc w:val="both"/>
              <w:rPr>
                <w:rFonts w:ascii="Times New Roman" w:hAnsi="Times New Roman" w:eastAsia="宋体" w:cs="Times New Roman"/>
                <w:color w:val="auto"/>
                <w:kern w:val="2"/>
                <w:sz w:val="24"/>
                <w:szCs w:val="24"/>
              </w:rPr>
            </w:pPr>
            <w:r>
              <w:rPr>
                <w:rFonts w:ascii="Times New Roman" w:hAnsi="Times New Roman" w:eastAsia="宋体" w:cs="Times New Roman"/>
                <w:i w:val="0"/>
                <w:iCs w:val="0"/>
                <w:caps w:val="0"/>
                <w:color w:val="auto"/>
                <w:spacing w:val="0"/>
                <w:kern w:val="2"/>
                <w:sz w:val="24"/>
                <w:szCs w:val="24"/>
                <w:shd w:val="clear"/>
              </w:rPr>
              <w:t>广西防城港核电基地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spacing w:line="360" w:lineRule="auto"/>
              <w:rPr>
                <w:rFonts w:ascii="Times New Roman" w:hAnsi="Times New Roman" w:eastAsia="宋体" w:cs="Times New Roman"/>
                <w:b/>
                <w:bCs/>
                <w:sz w:val="24"/>
                <w:szCs w:val="24"/>
              </w:rPr>
            </w:pP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记录</w:t>
            </w:r>
          </w:p>
        </w:tc>
        <w:tc>
          <w:tcPr>
            <w:tcW w:w="7368" w:type="dxa"/>
          </w:tcPr>
          <w:p>
            <w:pPr>
              <w:spacing w:line="360" w:lineRule="auto"/>
              <w:ind w:firstLine="480" w:firstLineChars="200"/>
              <w:jc w:val="both"/>
              <w:rPr>
                <w:rFonts w:ascii="Times New Roman" w:hAnsi="Times New Roman" w:eastAsia="宋体" w:cs="Times New Roman"/>
                <w:bCs/>
                <w:iCs/>
                <w:sz w:val="24"/>
                <w:szCs w:val="24"/>
              </w:rPr>
            </w:pPr>
          </w:p>
          <w:p>
            <w:pPr>
              <w:spacing w:line="360" w:lineRule="auto"/>
              <w:ind w:firstLine="480" w:firstLineChars="200"/>
              <w:jc w:val="both"/>
              <w:rPr>
                <w:rFonts w:ascii="Times New Roman" w:hAnsi="Times New Roman" w:eastAsia="宋体" w:cs="Times New Roman"/>
                <w:bCs/>
                <w:iCs/>
                <w:sz w:val="24"/>
                <w:szCs w:val="24"/>
              </w:rPr>
            </w:pPr>
            <w:r>
              <w:rPr>
                <w:rFonts w:ascii="Times New Roman" w:hAnsi="Times New Roman" w:eastAsia="宋体" w:cs="Times New Roman"/>
                <w:bCs/>
                <w:iCs/>
                <w:sz w:val="24"/>
                <w:szCs w:val="24"/>
              </w:rPr>
              <w:t>2024年7月11日，公司参加了实际控制人旗下上市公司集体路演活动。活动中，公司总会计师杨凌浩介绍了公司核心业务概况及上一会计年度、今年一季度的经营情况和亮点，并与参会者就关注问题进行交流，相关问答如下： </w:t>
            </w:r>
          </w:p>
          <w:p>
            <w:pPr>
              <w:spacing w:line="360" w:lineRule="auto"/>
              <w:ind w:firstLine="482" w:firstLineChars="200"/>
              <w:jc w:val="both"/>
              <w:rPr>
                <w:rFonts w:ascii="Times New Roman" w:hAnsi="Times New Roman" w:eastAsia="宋体" w:cs="Times New Roman"/>
                <w:b/>
                <w:bCs/>
                <w:sz w:val="24"/>
                <w:szCs w:val="24"/>
              </w:rPr>
            </w:pPr>
          </w:p>
          <w:p>
            <w:pPr>
              <w:spacing w:line="360" w:lineRule="auto"/>
              <w:ind w:firstLine="482" w:firstLineChars="200"/>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1.公司原大连国际资产处置进展？</w:t>
            </w:r>
          </w:p>
          <w:p>
            <w:pPr>
              <w:spacing w:line="360" w:lineRule="auto"/>
              <w:ind w:firstLine="480" w:firstLineChars="200"/>
              <w:jc w:val="both"/>
              <w:rPr>
                <w:rFonts w:ascii="Times New Roman" w:hAnsi="Times New Roman" w:eastAsia="宋体" w:cs="Times New Roman"/>
                <w:bCs/>
                <w:iCs/>
                <w:sz w:val="24"/>
                <w:szCs w:val="24"/>
              </w:rPr>
            </w:pPr>
            <w:r>
              <w:rPr>
                <w:rFonts w:ascii="Times New Roman" w:hAnsi="Times New Roman" w:eastAsia="宋体" w:cs="Times New Roman"/>
                <w:sz w:val="24"/>
                <w:szCs w:val="24"/>
              </w:rPr>
              <w:t>2023 年，公司对原大连国际的部分资产进行了处置，</w:t>
            </w:r>
            <w:r>
              <w:rPr>
                <w:rFonts w:hint="eastAsia" w:ascii="Times New Roman" w:hAnsi="Times New Roman" w:eastAsia="宋体" w:cs="Times New Roman"/>
                <w:sz w:val="24"/>
                <w:szCs w:val="24"/>
              </w:rPr>
              <w:t>部分</w:t>
            </w:r>
            <w:r>
              <w:rPr>
                <w:rFonts w:ascii="Times New Roman" w:hAnsi="Times New Roman" w:eastAsia="宋体" w:cs="Times New Roman"/>
                <w:sz w:val="24"/>
                <w:szCs w:val="24"/>
              </w:rPr>
              <w:t>业务已完成出表。2024 年</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公司继续按照国资委聚焦主责主业的相关要求，对该等资产按照 “成熟一家、处置一家”的策略推进处置。</w:t>
            </w:r>
            <w:r>
              <w:rPr>
                <w:rFonts w:ascii="Times New Roman" w:hAnsi="Times New Roman" w:eastAsia="宋体" w:cs="Times New Roman"/>
                <w:bCs/>
                <w:iCs/>
                <w:sz w:val="24"/>
                <w:szCs w:val="24"/>
              </w:rPr>
              <w:t>对达到信息披露标准的，公司将及时披露。</w:t>
            </w:r>
          </w:p>
          <w:p>
            <w:pPr>
              <w:spacing w:line="360" w:lineRule="auto"/>
              <w:ind w:firstLine="482" w:firstLineChars="200"/>
              <w:jc w:val="both"/>
              <w:rPr>
                <w:rFonts w:ascii="Times New Roman" w:hAnsi="Times New Roman" w:eastAsia="宋体" w:cs="Times New Roman"/>
                <w:b/>
                <w:bCs/>
                <w:sz w:val="24"/>
                <w:szCs w:val="24"/>
              </w:rPr>
            </w:pPr>
          </w:p>
          <w:p>
            <w:pPr>
              <w:spacing w:line="360" w:lineRule="auto"/>
              <w:ind w:firstLine="482" w:firstLineChars="200"/>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2.公司业务多元，未来往哪里去发力？</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公司对核心业务追求齐头并进，目前看，不会厚此薄彼。</w:t>
            </w:r>
            <w:r>
              <w:rPr>
                <w:rFonts w:ascii="宋体" w:hAnsi="宋体" w:eastAsia="宋体" w:cs="宋体"/>
                <w:sz w:val="24"/>
                <w:szCs w:val="24"/>
              </w:rPr>
              <w:t>具体到各主要业务领域</w:t>
            </w:r>
            <w:r>
              <w:rPr>
                <w:rFonts w:hint="eastAsia" w:ascii="宋体" w:hAnsi="宋体" w:eastAsia="宋体" w:cs="宋体"/>
                <w:sz w:val="24"/>
                <w:szCs w:val="24"/>
              </w:rPr>
              <w:t>，近几年将采取以下主要措施去提升盈利能力和盈利水平</w:t>
            </w:r>
            <w:r>
              <w:rPr>
                <w:rFonts w:ascii="宋体" w:hAnsi="宋体" w:eastAsia="宋体" w:cs="宋体"/>
                <w:sz w:val="24"/>
                <w:szCs w:val="24"/>
              </w:rPr>
              <w:t>：</w:t>
            </w:r>
          </w:p>
          <w:p>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 xml:space="preserve">新材料业务方面，公司将高效推进新材料业务高端转型升级， 围绕电缆料、工程塑料等存量业务的高附加值产品，大力开展科技 研发，并持续积极开发新的产品与应用领域，提升产品盈利水平。 </w:t>
            </w:r>
            <w:r>
              <w:rPr>
                <w:rFonts w:hint="eastAsia" w:ascii="宋体" w:hAnsi="宋体" w:eastAsia="宋体" w:cs="宋体"/>
                <w:sz w:val="24"/>
                <w:szCs w:val="24"/>
              </w:rPr>
              <w:t xml:space="preserve"> </w:t>
            </w:r>
          </w:p>
          <w:p>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 xml:space="preserve">加速器与辐照业务方面，公司将加强高能加速器产品研发，并持续提升中低能加速器核心性能参数，不断提升产品核心竞争力。 此外公司将加快探索新的潜在应用场景，力争拓展出新的电子加速 器应用产业赛道。 </w:t>
            </w:r>
          </w:p>
          <w:p>
            <w:pPr>
              <w:spacing w:line="360" w:lineRule="auto"/>
              <w:ind w:firstLine="480" w:firstLineChars="200"/>
              <w:jc w:val="both"/>
              <w:rPr>
                <w:rFonts w:ascii="Times New Roman" w:hAnsi="Times New Roman" w:eastAsia="宋体" w:cs="Times New Roman"/>
                <w:b/>
                <w:bCs/>
                <w:sz w:val="24"/>
                <w:szCs w:val="24"/>
              </w:rPr>
            </w:pPr>
            <w:r>
              <w:rPr>
                <w:rFonts w:ascii="宋体" w:hAnsi="宋体" w:eastAsia="宋体" w:cs="宋体"/>
                <w:sz w:val="24"/>
                <w:szCs w:val="24"/>
              </w:rPr>
              <w:t>医疗健康业务方面，公司将加快IBA多室质子治疗系统技术消化吸收，并积极推进质子项目国产化工作，加快建立自主可控的核心竞争力。此外，公司将全力推进同位素生产基地建设，加快建立起主流医用同位素供应能力。</w:t>
            </w:r>
          </w:p>
          <w:p>
            <w:pPr>
              <w:spacing w:line="360" w:lineRule="auto"/>
              <w:ind w:firstLine="482" w:firstLineChars="200"/>
              <w:jc w:val="both"/>
              <w:rPr>
                <w:rFonts w:ascii="Times New Roman" w:hAnsi="Times New Roman" w:eastAsia="宋体" w:cs="Times New Roman"/>
                <w:b/>
                <w:bCs/>
                <w:sz w:val="24"/>
                <w:szCs w:val="24"/>
              </w:rPr>
            </w:pPr>
          </w:p>
          <w:p>
            <w:pPr>
              <w:spacing w:line="360" w:lineRule="auto"/>
              <w:ind w:firstLine="482" w:firstLineChars="200"/>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.公司在核医学领域的布局目前进展以及公司对该行业展望，公司自己的竞争力。</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核技术在医学上的应用，是将核技术应用于疾病预防、诊断和治疗所形成的现代医学和核技术应用的交叉领域，具有独特的不可替代性。</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中广核技秉承“核技术让人类生活更美好”的理念，积极推动核技术在医学领域的应用，尤其是利用核技术进行肿瘤诊断和治疗，实现高端核医疗装备和医用放射性同位素自主化，造福广大肿瘤患者。</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公司在核</w:t>
            </w:r>
            <w:r>
              <w:rPr>
                <w:rFonts w:hint="eastAsia" w:ascii="Times New Roman" w:hAnsi="Times New Roman" w:eastAsia="宋体" w:cs="Times New Roman"/>
                <w:sz w:val="24"/>
                <w:szCs w:val="24"/>
                <w:lang w:val="en-US" w:eastAsia="zh-CN"/>
              </w:rPr>
              <w:t>医学</w:t>
            </w:r>
            <w:r>
              <w:rPr>
                <w:rFonts w:ascii="Times New Roman" w:hAnsi="Times New Roman" w:eastAsia="宋体" w:cs="Times New Roman"/>
                <w:sz w:val="24"/>
                <w:szCs w:val="24"/>
              </w:rPr>
              <w:t>领域目前已经设立了中广核医疗科技和中广核同位素科技两家全资</w:t>
            </w:r>
            <w:r>
              <w:rPr>
                <w:rFonts w:ascii="Times New Roman" w:hAnsi="Times New Roman" w:eastAsia="宋体" w:cs="Times New Roman"/>
                <w:bCs/>
                <w:iCs/>
                <w:sz w:val="24"/>
                <w:szCs w:val="24"/>
              </w:rPr>
              <w:t>子公司</w:t>
            </w:r>
            <w:r>
              <w:rPr>
                <w:rFonts w:ascii="Times New Roman" w:hAnsi="Times New Roman" w:eastAsia="宋体" w:cs="Times New Roman"/>
                <w:sz w:val="24"/>
                <w:szCs w:val="24"/>
              </w:rPr>
              <w:t>，分别开展质子治疗装备和医用同位素相关业务，并正在开展向更广泛核医疗装备、医用同位素</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相关领域产品布局的准备工作。</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公司通过对全球装机数量最多和治疗患者数量最多的比利时IBA公司质子治疗技术的引进、消化、吸收和再创新，已经逐步成长为国内质子治疗装备行业产业链上下游协同发展的重要推动力量。</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公司自建的质子治疗系统生产基地已经竣工，公司团队掌握核心技术和供应链，具备自主设计、自主生产供货、自主安装调试、和自主运维能力。产品</w:t>
            </w:r>
            <w:r>
              <w:rPr>
                <w:rFonts w:ascii="Times New Roman" w:hAnsi="Times New Roman" w:eastAsia="宋体" w:cs="Times New Roman"/>
                <w:bCs/>
                <w:iCs/>
                <w:sz w:val="24"/>
                <w:szCs w:val="24"/>
              </w:rPr>
              <w:t>性能</w:t>
            </w:r>
            <w:r>
              <w:rPr>
                <w:rFonts w:ascii="Times New Roman" w:hAnsi="Times New Roman" w:eastAsia="宋体" w:cs="Times New Roman"/>
                <w:sz w:val="24"/>
                <w:szCs w:val="24"/>
              </w:rPr>
              <w:t>国际一流，治疗效率高，且可根据用户需求，从1室到5室，灵活配置治疗室数量，并提供持续的技术更新和升级服务。</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中广核技作为中央企业下属成员公司，企业经营稳健，风险可控，能有效保障项目交付的质量，并保障未来长达20-30年的长期的、良好的、可靠的运维服务，有效降低客户项目风险。</w:t>
            </w:r>
          </w:p>
          <w:p>
            <w:pPr>
              <w:spacing w:line="360" w:lineRule="auto"/>
              <w:jc w:val="both"/>
              <w:rPr>
                <w:rFonts w:ascii="Times New Roman" w:hAnsi="Times New Roman" w:eastAsia="宋体" w:cs="Times New Roman"/>
                <w:b/>
                <w:bCs/>
                <w:sz w:val="24"/>
                <w:szCs w:val="24"/>
              </w:rPr>
            </w:pPr>
          </w:p>
          <w:p>
            <w:pPr>
              <w:spacing w:line="360" w:lineRule="auto"/>
              <w:ind w:firstLine="482" w:firstLineChars="200"/>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.公司电子加速器的产能及未来电子加速器市场需求展望。</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公司电子加速器产能</w:t>
            </w:r>
            <w:r>
              <w:rPr>
                <w:rFonts w:ascii="Times New Roman" w:hAnsi="Times New Roman" w:eastAsia="宋体" w:cs="Times New Roman"/>
                <w:bCs/>
                <w:iCs/>
                <w:sz w:val="24"/>
                <w:szCs w:val="24"/>
              </w:rPr>
              <w:t>目前</w:t>
            </w:r>
            <w:r>
              <w:rPr>
                <w:rFonts w:ascii="Times New Roman" w:hAnsi="Times New Roman" w:eastAsia="宋体" w:cs="Times New Roman"/>
                <w:sz w:val="24"/>
                <w:szCs w:val="24"/>
              </w:rPr>
              <w:t>为80台/年。</w:t>
            </w:r>
          </w:p>
          <w:p>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电子加速器是绿色环保加工装备，符合国家战略要求，在国民经济发展中的作用将进一步凸显。《“十三五”核工业发展规划》《“十三五”国家战略新兴产业发展规划》等一系列文件中均指出要鼓励促进核技术应用，发展非动力核技术，加大加速器及辐照应用技术的开发与核能综合利用，持续推动其在工业、农业、医疗健康、环境保护等领域应用。《产业结构调整指导目录（2024年本）》指出，在核能领域中鼓励同位素、加速器及辐照应用技术开发。</w:t>
            </w:r>
          </w:p>
          <w:p>
            <w:pPr>
              <w:spacing w:line="360" w:lineRule="auto"/>
              <w:ind w:firstLine="480" w:firstLineChars="200"/>
              <w:jc w:val="both"/>
              <w:rPr>
                <w:rFonts w:ascii="Times New Roman" w:hAnsi="Times New Roman" w:eastAsia="宋体" w:cs="Times New Roman"/>
                <w:bCs/>
                <w:iCs/>
                <w:sz w:val="24"/>
                <w:szCs w:val="24"/>
              </w:rPr>
            </w:pPr>
            <w:r>
              <w:rPr>
                <w:rFonts w:ascii="Times New Roman" w:hAnsi="Times New Roman" w:eastAsia="宋体" w:cs="Times New Roman"/>
                <w:sz w:val="24"/>
                <w:szCs w:val="24"/>
              </w:rPr>
              <w:t>随着辐照技术应用领域的拓宽，将有效带动电子加速器整体需求增长。在消毒灭菌、无损检测领域，受下游行业需求增长影响，呈现出较好的发展</w:t>
            </w:r>
            <w:r>
              <w:rPr>
                <w:rFonts w:ascii="Times New Roman" w:hAnsi="Times New Roman" w:eastAsia="宋体" w:cs="Times New Roman"/>
                <w:bCs/>
                <w:iCs/>
                <w:sz w:val="24"/>
                <w:szCs w:val="24"/>
              </w:rPr>
              <w:t>势头</w:t>
            </w:r>
            <w:r>
              <w:rPr>
                <w:rFonts w:ascii="Times New Roman" w:hAnsi="Times New Roman" w:eastAsia="宋体" w:cs="Times New Roman"/>
                <w:sz w:val="24"/>
                <w:szCs w:val="24"/>
              </w:rPr>
              <w:t>和潜力，但竞争较为激烈；在材料改性领域，市场需求受下游行业增速放缓影响，有所降低；在环境治理领域，产业发展基础初步奠定，应用场景持续拓展；在电子束辐照固化领域，尚在培育期，市场需求潜力较大。</w:t>
            </w:r>
          </w:p>
          <w:p>
            <w:pPr>
              <w:spacing w:line="360" w:lineRule="auto"/>
              <w:jc w:val="both"/>
              <w:rPr>
                <w:rFonts w:ascii="Times New Roman" w:hAnsi="Times New Roman" w:eastAsia="宋体" w:cs="Times New Roman"/>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671" w:type="dxa"/>
            <w:vAlign w:val="center"/>
          </w:tcPr>
          <w:p>
            <w:pPr>
              <w:spacing w:line="360" w:lineRule="auto"/>
              <w:rPr>
                <w:rFonts w:ascii="Times New Roman" w:hAnsi="Times New Roman" w:eastAsia="宋体" w:cs="Times New Roman"/>
                <w:b/>
                <w:bCs/>
                <w:sz w:val="24"/>
                <w:szCs w:val="24"/>
              </w:rPr>
            </w:pPr>
            <w:r>
              <w:rPr>
                <w:rFonts w:ascii="Times New Roman" w:hAnsi="Times New Roman" w:eastAsia="宋体" w:cs="Times New Roman"/>
                <w:b/>
                <w:iCs/>
                <w:sz w:val="24"/>
                <w:szCs w:val="24"/>
              </w:rPr>
              <w:t>是否涉及应披露重大信息的说明</w:t>
            </w:r>
          </w:p>
        </w:tc>
        <w:tc>
          <w:tcPr>
            <w:tcW w:w="7368" w:type="dxa"/>
          </w:tcPr>
          <w:p>
            <w:pPr>
              <w:spacing w:line="360" w:lineRule="auto"/>
              <w:jc w:val="both"/>
              <w:rPr>
                <w:rFonts w:ascii="Times New Roman" w:hAnsi="Times New Roman" w:eastAsia="宋体" w:cs="Times New Roman"/>
                <w:bCs/>
                <w:sz w:val="24"/>
                <w:szCs w:val="24"/>
              </w:rPr>
            </w:pPr>
            <w:r>
              <w:rPr>
                <w:rFonts w:ascii="Times New Roman" w:hAnsi="Times New Roman" w:eastAsia="宋体" w:cs="Times New Roman"/>
                <w:bCs/>
                <w:iCs/>
                <w:sz w:val="24"/>
                <w:szCs w:val="24"/>
              </w:rPr>
              <w:t>本次活动严格遵照相关监管要求开展，不涉及未公开重大信息泄露等情况。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71" w:type="dxa"/>
          </w:tcPr>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附件清单</w:t>
            </w:r>
          </w:p>
        </w:tc>
        <w:tc>
          <w:tcPr>
            <w:tcW w:w="7368" w:type="dxa"/>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无</w:t>
            </w:r>
          </w:p>
        </w:tc>
      </w:tr>
    </w:tbl>
    <w:p>
      <w:pPr>
        <w:spacing w:line="360" w:lineRule="auto"/>
        <w:rPr>
          <w:rFonts w:ascii="Times New Roman" w:hAnsi="Times New Roman" w:eastAsia="宋体" w:cs="Times New Roman"/>
        </w:rPr>
      </w:pPr>
      <w:bookmarkStart w:id="3" w:name="gmlp1495513898595"/>
      <w:bookmarkEnd w:id="3"/>
      <w:bookmarkStart w:id="4" w:name="mvgc1495530870230"/>
      <w:bookmarkEnd w:id="4"/>
      <w:bookmarkStart w:id="5" w:name="wzcc1495530870230"/>
      <w:bookmarkEnd w:id="5"/>
      <w:bookmarkStart w:id="6" w:name="wizy1495531416450"/>
      <w:bookmarkEnd w:id="6"/>
      <w:bookmarkStart w:id="7" w:name="yiqc1495530869112"/>
      <w:bookmarkEnd w:id="7"/>
      <w:bookmarkStart w:id="8" w:name="cjdb1495530870230"/>
      <w:bookmarkEnd w:id="8"/>
      <w:bookmarkStart w:id="9" w:name="idrs1495531042364"/>
      <w:bookmarkEnd w:id="9"/>
      <w:bookmarkStart w:id="10" w:name="ztar1495531416096"/>
      <w:bookmarkEnd w:id="10"/>
      <w:bookmarkStart w:id="11" w:name="mjdv1495530894551"/>
      <w:bookmarkEnd w:id="11"/>
      <w:bookmarkStart w:id="12" w:name="qpsj1495531044512"/>
      <w:bookmarkEnd w:id="12"/>
    </w:p>
    <w:sectPr>
      <w:foot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Lucida Grande">
    <w:altName w:val="Arial"/>
    <w:panose1 w:val="00000000000000000000"/>
    <w:charset w:val="00"/>
    <w:family w:val="auto"/>
    <w:pitch w:val="default"/>
    <w:sig w:usb0="00000000" w:usb1="00000000" w:usb2="00000000" w:usb3="00000000" w:csb0="000001B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DA1NTFmNGM4YTNjNmZhYmFlZDYwM2YwYjlmMzQifQ=="/>
  </w:docVars>
  <w:rsids>
    <w:rsidRoot w:val="00FC3CCE"/>
    <w:rsid w:val="000E10E7"/>
    <w:rsid w:val="006574A2"/>
    <w:rsid w:val="00794644"/>
    <w:rsid w:val="00AE3039"/>
    <w:rsid w:val="00B561ED"/>
    <w:rsid w:val="00C50706"/>
    <w:rsid w:val="00FC3CCE"/>
    <w:rsid w:val="016A0DAC"/>
    <w:rsid w:val="01850207"/>
    <w:rsid w:val="0187402D"/>
    <w:rsid w:val="01D2594C"/>
    <w:rsid w:val="02045B72"/>
    <w:rsid w:val="025C1016"/>
    <w:rsid w:val="025C6408"/>
    <w:rsid w:val="02690FC5"/>
    <w:rsid w:val="02996051"/>
    <w:rsid w:val="033E4BBF"/>
    <w:rsid w:val="034F11C2"/>
    <w:rsid w:val="03EC7F90"/>
    <w:rsid w:val="046C4E1C"/>
    <w:rsid w:val="04A942BA"/>
    <w:rsid w:val="04FC43EA"/>
    <w:rsid w:val="05080FE1"/>
    <w:rsid w:val="052D4EEB"/>
    <w:rsid w:val="053B087B"/>
    <w:rsid w:val="05AE3A6D"/>
    <w:rsid w:val="05C141CF"/>
    <w:rsid w:val="05CC7F26"/>
    <w:rsid w:val="05DE1D42"/>
    <w:rsid w:val="060F639F"/>
    <w:rsid w:val="066F4261"/>
    <w:rsid w:val="069830D1"/>
    <w:rsid w:val="06B13A2E"/>
    <w:rsid w:val="06FF01C2"/>
    <w:rsid w:val="073A4485"/>
    <w:rsid w:val="08493DEA"/>
    <w:rsid w:val="08784EFA"/>
    <w:rsid w:val="09127543"/>
    <w:rsid w:val="098C4883"/>
    <w:rsid w:val="09B259BF"/>
    <w:rsid w:val="09BB45A6"/>
    <w:rsid w:val="09C63218"/>
    <w:rsid w:val="09CC42FA"/>
    <w:rsid w:val="0A5D31D2"/>
    <w:rsid w:val="0A981059"/>
    <w:rsid w:val="0AB319EF"/>
    <w:rsid w:val="0B0264D2"/>
    <w:rsid w:val="0B1D50BA"/>
    <w:rsid w:val="0B481F73"/>
    <w:rsid w:val="0BAE0408"/>
    <w:rsid w:val="0CA748A4"/>
    <w:rsid w:val="0D4C6612"/>
    <w:rsid w:val="0D692839"/>
    <w:rsid w:val="0DA16476"/>
    <w:rsid w:val="0DB333E3"/>
    <w:rsid w:val="0DD95C10"/>
    <w:rsid w:val="0F1D151B"/>
    <w:rsid w:val="0F81644E"/>
    <w:rsid w:val="0F9C1270"/>
    <w:rsid w:val="0FE8038D"/>
    <w:rsid w:val="0FF26B15"/>
    <w:rsid w:val="0FF37F1A"/>
    <w:rsid w:val="100C2162"/>
    <w:rsid w:val="10434992"/>
    <w:rsid w:val="106534B8"/>
    <w:rsid w:val="112A22DF"/>
    <w:rsid w:val="114809B7"/>
    <w:rsid w:val="11592BC4"/>
    <w:rsid w:val="118A2253"/>
    <w:rsid w:val="1198779A"/>
    <w:rsid w:val="11F03528"/>
    <w:rsid w:val="12024E68"/>
    <w:rsid w:val="127C6D88"/>
    <w:rsid w:val="12C329EB"/>
    <w:rsid w:val="12DF6BAF"/>
    <w:rsid w:val="12E25CD7"/>
    <w:rsid w:val="136C49BC"/>
    <w:rsid w:val="14F15904"/>
    <w:rsid w:val="1534372C"/>
    <w:rsid w:val="1574029B"/>
    <w:rsid w:val="159A53A0"/>
    <w:rsid w:val="1635775C"/>
    <w:rsid w:val="165F4FA1"/>
    <w:rsid w:val="167504A0"/>
    <w:rsid w:val="16DF591A"/>
    <w:rsid w:val="175D340D"/>
    <w:rsid w:val="17C37A94"/>
    <w:rsid w:val="186407CC"/>
    <w:rsid w:val="18DC65B5"/>
    <w:rsid w:val="190078DC"/>
    <w:rsid w:val="195A572B"/>
    <w:rsid w:val="19F636A6"/>
    <w:rsid w:val="1A2973EF"/>
    <w:rsid w:val="1A512DDD"/>
    <w:rsid w:val="1A710F7F"/>
    <w:rsid w:val="1A815666"/>
    <w:rsid w:val="1AF916A0"/>
    <w:rsid w:val="1B5C1C2F"/>
    <w:rsid w:val="1B9201BC"/>
    <w:rsid w:val="1BAE3DA4"/>
    <w:rsid w:val="1BE94618"/>
    <w:rsid w:val="1C2D6B66"/>
    <w:rsid w:val="1D5801D4"/>
    <w:rsid w:val="1D766BDC"/>
    <w:rsid w:val="1DA75DCA"/>
    <w:rsid w:val="1DE0143C"/>
    <w:rsid w:val="1DE81558"/>
    <w:rsid w:val="1E6779B9"/>
    <w:rsid w:val="1F23503F"/>
    <w:rsid w:val="1F31586A"/>
    <w:rsid w:val="1F5844BB"/>
    <w:rsid w:val="20304BC9"/>
    <w:rsid w:val="206E2AF5"/>
    <w:rsid w:val="20B6593D"/>
    <w:rsid w:val="21391DBE"/>
    <w:rsid w:val="21CC6EAF"/>
    <w:rsid w:val="21FB3F4F"/>
    <w:rsid w:val="223F046D"/>
    <w:rsid w:val="229414D9"/>
    <w:rsid w:val="2320279B"/>
    <w:rsid w:val="234D227A"/>
    <w:rsid w:val="238B30B1"/>
    <w:rsid w:val="23C94C24"/>
    <w:rsid w:val="23CD3AA8"/>
    <w:rsid w:val="23D4688D"/>
    <w:rsid w:val="243D5429"/>
    <w:rsid w:val="247A4E28"/>
    <w:rsid w:val="24A03FA5"/>
    <w:rsid w:val="24BA7B31"/>
    <w:rsid w:val="24D169AF"/>
    <w:rsid w:val="24DF3003"/>
    <w:rsid w:val="24F42C9A"/>
    <w:rsid w:val="252E7B0D"/>
    <w:rsid w:val="25946E58"/>
    <w:rsid w:val="26175410"/>
    <w:rsid w:val="2624671E"/>
    <w:rsid w:val="266D620A"/>
    <w:rsid w:val="26953B38"/>
    <w:rsid w:val="27C10D70"/>
    <w:rsid w:val="28117E8C"/>
    <w:rsid w:val="283204F9"/>
    <w:rsid w:val="2835762B"/>
    <w:rsid w:val="28404570"/>
    <w:rsid w:val="28662E3D"/>
    <w:rsid w:val="286B6D4C"/>
    <w:rsid w:val="28F811E9"/>
    <w:rsid w:val="2A467BD6"/>
    <w:rsid w:val="2A4A56FF"/>
    <w:rsid w:val="2A581813"/>
    <w:rsid w:val="2A5E151F"/>
    <w:rsid w:val="2B663795"/>
    <w:rsid w:val="2BB824C9"/>
    <w:rsid w:val="2C0627E4"/>
    <w:rsid w:val="2C1713A5"/>
    <w:rsid w:val="2CB73169"/>
    <w:rsid w:val="2CC6515A"/>
    <w:rsid w:val="2CD47877"/>
    <w:rsid w:val="2CDA29B3"/>
    <w:rsid w:val="2DF002CB"/>
    <w:rsid w:val="2E1D3B43"/>
    <w:rsid w:val="2EA2728D"/>
    <w:rsid w:val="2EB6292E"/>
    <w:rsid w:val="2F9D6FC1"/>
    <w:rsid w:val="2FE51D9B"/>
    <w:rsid w:val="30645D0A"/>
    <w:rsid w:val="3069188A"/>
    <w:rsid w:val="309335A5"/>
    <w:rsid w:val="30B347D8"/>
    <w:rsid w:val="30D51DD2"/>
    <w:rsid w:val="31141A8E"/>
    <w:rsid w:val="31B9092A"/>
    <w:rsid w:val="320E1D12"/>
    <w:rsid w:val="32454D73"/>
    <w:rsid w:val="325C5469"/>
    <w:rsid w:val="330469DC"/>
    <w:rsid w:val="33402EE0"/>
    <w:rsid w:val="334E5EA9"/>
    <w:rsid w:val="346534AA"/>
    <w:rsid w:val="346F257B"/>
    <w:rsid w:val="347D6A46"/>
    <w:rsid w:val="34F605A6"/>
    <w:rsid w:val="35044A71"/>
    <w:rsid w:val="355754E9"/>
    <w:rsid w:val="357A38CC"/>
    <w:rsid w:val="358856A2"/>
    <w:rsid w:val="35CE6E2D"/>
    <w:rsid w:val="35D22DC1"/>
    <w:rsid w:val="35DF103A"/>
    <w:rsid w:val="36116014"/>
    <w:rsid w:val="37434AD4"/>
    <w:rsid w:val="37621F23"/>
    <w:rsid w:val="37CB1876"/>
    <w:rsid w:val="387E0BD4"/>
    <w:rsid w:val="38D72D03"/>
    <w:rsid w:val="39066C05"/>
    <w:rsid w:val="39224187"/>
    <w:rsid w:val="3A212E34"/>
    <w:rsid w:val="3A336118"/>
    <w:rsid w:val="3A5C0EAC"/>
    <w:rsid w:val="3A761B04"/>
    <w:rsid w:val="3AD029E3"/>
    <w:rsid w:val="3AED5FA8"/>
    <w:rsid w:val="3B1A0FE9"/>
    <w:rsid w:val="3B5E1503"/>
    <w:rsid w:val="3BB53761"/>
    <w:rsid w:val="3BC43710"/>
    <w:rsid w:val="3C1A71B0"/>
    <w:rsid w:val="3C285D2D"/>
    <w:rsid w:val="3C3C2D43"/>
    <w:rsid w:val="3C531ADE"/>
    <w:rsid w:val="3C6C58D5"/>
    <w:rsid w:val="3C7050E2"/>
    <w:rsid w:val="3C7E35F5"/>
    <w:rsid w:val="3C942E5A"/>
    <w:rsid w:val="3CAE261F"/>
    <w:rsid w:val="3D13665C"/>
    <w:rsid w:val="3D983B2B"/>
    <w:rsid w:val="3E167F1A"/>
    <w:rsid w:val="3E353902"/>
    <w:rsid w:val="3E391C30"/>
    <w:rsid w:val="3ECB4852"/>
    <w:rsid w:val="3F374937"/>
    <w:rsid w:val="3FDA57A6"/>
    <w:rsid w:val="404508B1"/>
    <w:rsid w:val="406A72AF"/>
    <w:rsid w:val="40B52ECF"/>
    <w:rsid w:val="40D43E92"/>
    <w:rsid w:val="410B3A33"/>
    <w:rsid w:val="41BF4055"/>
    <w:rsid w:val="41D8350E"/>
    <w:rsid w:val="41FB359F"/>
    <w:rsid w:val="420A1906"/>
    <w:rsid w:val="424652DE"/>
    <w:rsid w:val="42823479"/>
    <w:rsid w:val="42A856B7"/>
    <w:rsid w:val="43874B59"/>
    <w:rsid w:val="441D78FE"/>
    <w:rsid w:val="44405FFD"/>
    <w:rsid w:val="449A2CFC"/>
    <w:rsid w:val="44FA1C46"/>
    <w:rsid w:val="450310D5"/>
    <w:rsid w:val="45234C08"/>
    <w:rsid w:val="453C3DB3"/>
    <w:rsid w:val="454F47C6"/>
    <w:rsid w:val="45B95404"/>
    <w:rsid w:val="46BF6A4A"/>
    <w:rsid w:val="480C27B0"/>
    <w:rsid w:val="487A66CC"/>
    <w:rsid w:val="48802209"/>
    <w:rsid w:val="489108BA"/>
    <w:rsid w:val="4892608F"/>
    <w:rsid w:val="489E275A"/>
    <w:rsid w:val="48D52AE9"/>
    <w:rsid w:val="4928157F"/>
    <w:rsid w:val="49BE123B"/>
    <w:rsid w:val="4A435652"/>
    <w:rsid w:val="4A4D43E6"/>
    <w:rsid w:val="4A800BE6"/>
    <w:rsid w:val="4AC90D97"/>
    <w:rsid w:val="4AF85FB6"/>
    <w:rsid w:val="4B0B4BE2"/>
    <w:rsid w:val="4B1E3B9C"/>
    <w:rsid w:val="4BBA2DBF"/>
    <w:rsid w:val="4BBB678F"/>
    <w:rsid w:val="4CCC3C6F"/>
    <w:rsid w:val="4CEA0599"/>
    <w:rsid w:val="4D357738"/>
    <w:rsid w:val="4D8F70C1"/>
    <w:rsid w:val="4DFF0074"/>
    <w:rsid w:val="4E047FD1"/>
    <w:rsid w:val="4E1E499E"/>
    <w:rsid w:val="4E3F66C2"/>
    <w:rsid w:val="4EED4970"/>
    <w:rsid w:val="4F0A10D5"/>
    <w:rsid w:val="4F345540"/>
    <w:rsid w:val="4F446E24"/>
    <w:rsid w:val="4F967C9B"/>
    <w:rsid w:val="500D20D1"/>
    <w:rsid w:val="50117968"/>
    <w:rsid w:val="508F1684"/>
    <w:rsid w:val="50B93821"/>
    <w:rsid w:val="50CB688B"/>
    <w:rsid w:val="50EA0B67"/>
    <w:rsid w:val="50F47F3A"/>
    <w:rsid w:val="51220301"/>
    <w:rsid w:val="5152438D"/>
    <w:rsid w:val="517647E2"/>
    <w:rsid w:val="51BB46EF"/>
    <w:rsid w:val="520110C5"/>
    <w:rsid w:val="523D4EE1"/>
    <w:rsid w:val="525306BC"/>
    <w:rsid w:val="52585A5A"/>
    <w:rsid w:val="53591FD4"/>
    <w:rsid w:val="537B019D"/>
    <w:rsid w:val="539B083F"/>
    <w:rsid w:val="541C20A2"/>
    <w:rsid w:val="54B767AA"/>
    <w:rsid w:val="551D7EFB"/>
    <w:rsid w:val="55A03EEB"/>
    <w:rsid w:val="55B81234"/>
    <w:rsid w:val="560B3A5A"/>
    <w:rsid w:val="56586573"/>
    <w:rsid w:val="573C7A94"/>
    <w:rsid w:val="5787351D"/>
    <w:rsid w:val="583672E3"/>
    <w:rsid w:val="58511D58"/>
    <w:rsid w:val="59103135"/>
    <w:rsid w:val="5954533F"/>
    <w:rsid w:val="599C04BB"/>
    <w:rsid w:val="59C7501F"/>
    <w:rsid w:val="59CF724C"/>
    <w:rsid w:val="59FF1568"/>
    <w:rsid w:val="5A06311D"/>
    <w:rsid w:val="5A0C7CAD"/>
    <w:rsid w:val="5A66218A"/>
    <w:rsid w:val="5ABC17C7"/>
    <w:rsid w:val="5B7A5942"/>
    <w:rsid w:val="5B8C73EB"/>
    <w:rsid w:val="5BA9172E"/>
    <w:rsid w:val="5BC052E6"/>
    <w:rsid w:val="5BC333A9"/>
    <w:rsid w:val="5BDB66AE"/>
    <w:rsid w:val="5BE60A1B"/>
    <w:rsid w:val="5C31247F"/>
    <w:rsid w:val="5C5477DD"/>
    <w:rsid w:val="5C6A5252"/>
    <w:rsid w:val="5CD56B70"/>
    <w:rsid w:val="5DB64E0E"/>
    <w:rsid w:val="5E107DF4"/>
    <w:rsid w:val="5E236A34"/>
    <w:rsid w:val="5E781EA8"/>
    <w:rsid w:val="5E967E74"/>
    <w:rsid w:val="5EBB4672"/>
    <w:rsid w:val="5F93061C"/>
    <w:rsid w:val="5FC8476A"/>
    <w:rsid w:val="604B00FB"/>
    <w:rsid w:val="60D66C58"/>
    <w:rsid w:val="614800A8"/>
    <w:rsid w:val="619F14FA"/>
    <w:rsid w:val="628C69C3"/>
    <w:rsid w:val="62BF00A6"/>
    <w:rsid w:val="63362212"/>
    <w:rsid w:val="637C7D45"/>
    <w:rsid w:val="63BB71C0"/>
    <w:rsid w:val="63D41735"/>
    <w:rsid w:val="64755AE0"/>
    <w:rsid w:val="64C0606E"/>
    <w:rsid w:val="64DF3D26"/>
    <w:rsid w:val="64E02555"/>
    <w:rsid w:val="650511DC"/>
    <w:rsid w:val="653D3F7B"/>
    <w:rsid w:val="65717652"/>
    <w:rsid w:val="65870299"/>
    <w:rsid w:val="65A50D02"/>
    <w:rsid w:val="65C9123C"/>
    <w:rsid w:val="65D8597A"/>
    <w:rsid w:val="66033B3B"/>
    <w:rsid w:val="66051BC2"/>
    <w:rsid w:val="669259B3"/>
    <w:rsid w:val="669C4600"/>
    <w:rsid w:val="66A54EBB"/>
    <w:rsid w:val="678535E8"/>
    <w:rsid w:val="679C2ADC"/>
    <w:rsid w:val="67D839B8"/>
    <w:rsid w:val="681B590C"/>
    <w:rsid w:val="681D1553"/>
    <w:rsid w:val="683A668A"/>
    <w:rsid w:val="6849182F"/>
    <w:rsid w:val="688E6ACA"/>
    <w:rsid w:val="690F1CD5"/>
    <w:rsid w:val="6931512E"/>
    <w:rsid w:val="69801C11"/>
    <w:rsid w:val="6A322DCF"/>
    <w:rsid w:val="6A4A73F1"/>
    <w:rsid w:val="6AC77CBF"/>
    <w:rsid w:val="6B227199"/>
    <w:rsid w:val="6C3A69EF"/>
    <w:rsid w:val="6C7A7B55"/>
    <w:rsid w:val="6C872742"/>
    <w:rsid w:val="6D144BA0"/>
    <w:rsid w:val="6D2D3E5E"/>
    <w:rsid w:val="6E2830B5"/>
    <w:rsid w:val="6E386F5E"/>
    <w:rsid w:val="6E3D0746"/>
    <w:rsid w:val="6EF952DD"/>
    <w:rsid w:val="6F286D97"/>
    <w:rsid w:val="6F4F13ED"/>
    <w:rsid w:val="6F641173"/>
    <w:rsid w:val="6F771D08"/>
    <w:rsid w:val="6FD131C7"/>
    <w:rsid w:val="706109EE"/>
    <w:rsid w:val="722577FA"/>
    <w:rsid w:val="72A76461"/>
    <w:rsid w:val="73512DB5"/>
    <w:rsid w:val="73771513"/>
    <w:rsid w:val="73A82913"/>
    <w:rsid w:val="73BD5C61"/>
    <w:rsid w:val="747B4785"/>
    <w:rsid w:val="74AB2123"/>
    <w:rsid w:val="74D23A3D"/>
    <w:rsid w:val="75B23A9A"/>
    <w:rsid w:val="75D752AF"/>
    <w:rsid w:val="75DE663D"/>
    <w:rsid w:val="760B7B5F"/>
    <w:rsid w:val="764112E9"/>
    <w:rsid w:val="768627AD"/>
    <w:rsid w:val="76A11B75"/>
    <w:rsid w:val="76B51A17"/>
    <w:rsid w:val="772938E8"/>
    <w:rsid w:val="773C12BE"/>
    <w:rsid w:val="775576CC"/>
    <w:rsid w:val="775C3249"/>
    <w:rsid w:val="77621595"/>
    <w:rsid w:val="77691F86"/>
    <w:rsid w:val="77940E28"/>
    <w:rsid w:val="7840713B"/>
    <w:rsid w:val="785726D7"/>
    <w:rsid w:val="791D122B"/>
    <w:rsid w:val="79695CC0"/>
    <w:rsid w:val="796E35ED"/>
    <w:rsid w:val="7A4456B4"/>
    <w:rsid w:val="7A847D33"/>
    <w:rsid w:val="7ABE2599"/>
    <w:rsid w:val="7B3274AA"/>
    <w:rsid w:val="7B3D051E"/>
    <w:rsid w:val="7CAD34B6"/>
    <w:rsid w:val="7CDB7267"/>
    <w:rsid w:val="7CF46746"/>
    <w:rsid w:val="7D1352DD"/>
    <w:rsid w:val="7D5471E5"/>
    <w:rsid w:val="7D951044"/>
    <w:rsid w:val="7DD8202A"/>
    <w:rsid w:val="7E27263C"/>
    <w:rsid w:val="7E546EEF"/>
    <w:rsid w:val="7EBA3F58"/>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微软雅黑" w:hAnsi="微软雅黑" w:eastAsia="微软雅黑" w:cs="微软雅黑"/>
      <w:color w:val="000000"/>
      <w:sz w:val="21"/>
      <w:szCs w:val="21"/>
      <w:u w:color="000000"/>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qFormat/>
    <w:uiPriority w:val="99"/>
  </w:style>
  <w:style w:type="paragraph" w:styleId="3">
    <w:name w:val="Balloon Text"/>
    <w:basedOn w:val="1"/>
    <w:link w:val="16"/>
    <w:autoRedefine/>
    <w:qFormat/>
    <w:uiPriority w:val="99"/>
    <w:rPr>
      <w:rFonts w:ascii="Lucida Grande" w:hAnsi="Lucida Grande" w:cs="Lucida Grande"/>
      <w:sz w:val="18"/>
      <w:szCs w:val="18"/>
    </w:rPr>
  </w:style>
  <w:style w:type="paragraph" w:styleId="4">
    <w:name w:val="footer"/>
    <w:basedOn w:val="1"/>
    <w:link w:val="19"/>
    <w:autoRedefine/>
    <w:qFormat/>
    <w:uiPriority w:val="99"/>
    <w:pPr>
      <w:tabs>
        <w:tab w:val="center" w:pos="4153"/>
        <w:tab w:val="right" w:pos="8306"/>
      </w:tabs>
      <w:snapToGrid w:val="0"/>
    </w:pPr>
    <w:rPr>
      <w:sz w:val="18"/>
      <w:szCs w:val="18"/>
    </w:rPr>
  </w:style>
  <w:style w:type="paragraph" w:styleId="5">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autoRedefine/>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u w:val="single"/>
    </w:rPr>
  </w:style>
  <w:style w:type="character" w:styleId="11">
    <w:name w:val="annotation reference"/>
    <w:basedOn w:val="9"/>
    <w:autoRedefine/>
    <w:qFormat/>
    <w:uiPriority w:val="99"/>
    <w:rPr>
      <w:sz w:val="21"/>
      <w:szCs w:val="21"/>
    </w:rPr>
  </w:style>
  <w:style w:type="table" w:customStyle="1" w:styleId="12">
    <w:name w:val="Table Normal"/>
    <w:autoRedefine/>
    <w:qFormat/>
    <w:uiPriority w:val="0"/>
    <w:tblPr>
      <w:tblCellMar>
        <w:top w:w="0" w:type="dxa"/>
        <w:left w:w="0" w:type="dxa"/>
        <w:bottom w:w="0" w:type="dxa"/>
        <w:right w:w="0" w:type="dxa"/>
      </w:tblCellMar>
    </w:tblPr>
  </w:style>
  <w:style w:type="paragraph" w:customStyle="1" w:styleId="13">
    <w:name w:val="Header &amp; Footer"/>
    <w:autoRedefine/>
    <w:qFormat/>
    <w:uiPriority w:val="0"/>
    <w:pPr>
      <w:tabs>
        <w:tab w:val="right" w:pos="9020"/>
      </w:tabs>
    </w:pPr>
    <w:rPr>
      <w:rFonts w:ascii="Helvetica" w:hAnsi="Helvetica" w:eastAsia="Arial Unicode MS" w:cs="Arial Unicode MS"/>
      <w:color w:val="000000"/>
      <w:sz w:val="24"/>
      <w:szCs w:val="24"/>
      <w:lang w:val="en-GB" w:eastAsia="zh-CN" w:bidi="ar-SA"/>
    </w:rPr>
  </w:style>
  <w:style w:type="paragraph" w:customStyle="1" w:styleId="14">
    <w:name w:val="Default"/>
    <w:autoRedefine/>
    <w:qFormat/>
    <w:uiPriority w:val="0"/>
    <w:rPr>
      <w:rFonts w:ascii="Helvetica" w:hAnsi="Helvetica" w:eastAsia="Helvetica" w:cs="Helvetica"/>
      <w:color w:val="000000"/>
      <w:sz w:val="22"/>
      <w:szCs w:val="22"/>
      <w:lang w:val="en-GB" w:eastAsia="zh-CN" w:bidi="ar-SA"/>
    </w:rPr>
  </w:style>
  <w:style w:type="character" w:customStyle="1" w:styleId="15">
    <w:name w:val="批注文字 字符"/>
    <w:basedOn w:val="9"/>
    <w:link w:val="2"/>
    <w:autoRedefine/>
    <w:qFormat/>
    <w:uiPriority w:val="99"/>
    <w:rPr>
      <w:rFonts w:ascii="微软雅黑" w:hAnsi="微软雅黑" w:eastAsia="微软雅黑" w:cs="微软雅黑"/>
      <w:color w:val="000000"/>
      <w:sz w:val="21"/>
      <w:szCs w:val="21"/>
      <w:u w:color="000000"/>
      <w:lang w:val="en-US"/>
    </w:rPr>
  </w:style>
  <w:style w:type="character" w:customStyle="1" w:styleId="16">
    <w:name w:val="批注框文本 字符"/>
    <w:basedOn w:val="9"/>
    <w:link w:val="3"/>
    <w:autoRedefine/>
    <w:qFormat/>
    <w:uiPriority w:val="99"/>
    <w:rPr>
      <w:rFonts w:ascii="Lucida Grande" w:hAnsi="Lucida Grande" w:eastAsia="微软雅黑" w:cs="Lucida Grande"/>
      <w:color w:val="000000"/>
      <w:sz w:val="18"/>
      <w:szCs w:val="18"/>
      <w:u w:color="000000"/>
      <w:lang w:val="en-US"/>
    </w:rPr>
  </w:style>
  <w:style w:type="paragraph" w:styleId="17">
    <w:name w:val="List Paragraph"/>
    <w:basedOn w:val="1"/>
    <w:autoRedefine/>
    <w:qFormat/>
    <w:uiPriority w:val="34"/>
    <w:pPr>
      <w:ind w:firstLine="420" w:firstLineChars="200"/>
      <w:jc w:val="both"/>
    </w:pPr>
    <w:rPr>
      <w:rFonts w:ascii="Helvetica" w:hAnsi="Helvetica" w:eastAsia="宋体" w:cs="Helvetica"/>
      <w:color w:val="auto"/>
      <w:kern w:val="2"/>
      <w:szCs w:val="22"/>
    </w:rPr>
  </w:style>
  <w:style w:type="character" w:customStyle="1" w:styleId="18">
    <w:name w:val="页眉 字符"/>
    <w:basedOn w:val="9"/>
    <w:link w:val="5"/>
    <w:autoRedefine/>
    <w:qFormat/>
    <w:uiPriority w:val="99"/>
    <w:rPr>
      <w:rFonts w:ascii="微软雅黑" w:hAnsi="微软雅黑" w:eastAsia="微软雅黑" w:cs="微软雅黑"/>
      <w:color w:val="000000"/>
      <w:sz w:val="18"/>
      <w:szCs w:val="18"/>
      <w:u w:color="000000"/>
      <w:lang w:val="en-US"/>
    </w:rPr>
  </w:style>
  <w:style w:type="character" w:customStyle="1" w:styleId="19">
    <w:name w:val="页脚 字符"/>
    <w:basedOn w:val="9"/>
    <w:link w:val="4"/>
    <w:autoRedefine/>
    <w:qFormat/>
    <w:uiPriority w:val="99"/>
    <w:rPr>
      <w:rFonts w:ascii="微软雅黑" w:hAnsi="微软雅黑" w:eastAsia="微软雅黑" w:cs="微软雅黑"/>
      <w:color w:val="000000"/>
      <w:sz w:val="18"/>
      <w:szCs w:val="18"/>
      <w:u w:color="000000"/>
      <w:lang w:val="en-US"/>
    </w:rPr>
  </w:style>
  <w:style w:type="character" w:customStyle="1" w:styleId="20">
    <w:name w:val="批注主题 字符"/>
    <w:basedOn w:val="15"/>
    <w:link w:val="6"/>
    <w:autoRedefine/>
    <w:qFormat/>
    <w:uiPriority w:val="99"/>
    <w:rPr>
      <w:rFonts w:ascii="微软雅黑" w:hAnsi="微软雅黑" w:eastAsia="微软雅黑" w:cs="微软雅黑"/>
      <w:b/>
      <w:bCs/>
      <w:color w:val="000000"/>
      <w:sz w:val="21"/>
      <w:szCs w:val="21"/>
      <w:u w:color="000000"/>
      <w:lang w:val="en-US"/>
    </w:rPr>
  </w:style>
  <w:style w:type="paragraph" w:customStyle="1" w:styleId="21">
    <w:name w:val="List Paragraph1"/>
    <w:basedOn w:val="1"/>
    <w:autoRedefine/>
    <w:qFormat/>
    <w:uiPriority w:val="0"/>
    <w:pPr>
      <w:ind w:firstLine="420" w:firstLineChars="200"/>
    </w:pPr>
    <w:rPr>
      <w:rFonts w:ascii="Calibri" w:hAnsi="Calibri" w:eastAsia="宋体" w:cs="Times New Roman"/>
    </w:rPr>
  </w:style>
  <w:style w:type="paragraph" w:customStyle="1" w:styleId="22">
    <w:name w:val="Revision"/>
    <w:hidden/>
    <w:unhideWhenUsed/>
    <w:qFormat/>
    <w:uiPriority w:val="99"/>
    <w:rPr>
      <w:rFonts w:ascii="微软雅黑" w:hAnsi="微软雅黑" w:eastAsia="微软雅黑" w:cs="微软雅黑"/>
      <w:color w:val="000000"/>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34F7C-B84F-49FC-96C3-90229F320D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1971</Words>
  <Characters>2040</Characters>
  <Lines>15</Lines>
  <Paragraphs>4</Paragraphs>
  <TotalTime>19</TotalTime>
  <ScaleCrop>false</ScaleCrop>
  <LinksUpToDate>false</LinksUpToDate>
  <CharactersWithSpaces>2127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陈雪琦</dc:creator>
  <cp:lastModifiedBy>WPS_1666972418</cp:lastModifiedBy>
  <cp:lastPrinted>2022-02-25T11:13:00Z</cp:lastPrinted>
  <dcterms:modified xsi:type="dcterms:W3CDTF">2024-07-11T14:49:04Z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34AE0766483A4ACF8B515415736796BE_13</vt:lpwstr>
  </property>
</Properties>
</file>